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方正小标宋简体" w:eastAsia="方正小标宋简体"/>
          <w:lang w:val="en-US" w:eastAsia="zh-CN"/>
        </w:rPr>
      </w:pPr>
      <w:r>
        <w:rPr>
          <w:rFonts w:hint="eastAsia" w:ascii="方正小标宋简体" w:eastAsia="方正小标宋简体"/>
          <w:lang w:val="en-US" w:eastAsia="zh-CN"/>
        </w:rPr>
        <w:t>杭州电子科技大学信息工程学院2024年度</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宋体"/>
          <w:sz w:val="51"/>
          <w:lang w:val="en-US"/>
        </w:rPr>
      </w:pPr>
      <w:r>
        <w:rPr>
          <w:rFonts w:hint="eastAsia" w:ascii="方正小标宋简体" w:eastAsia="方正小标宋简体"/>
          <w:lang w:val="en-US" w:eastAsia="zh-CN"/>
        </w:rPr>
        <w:t>师生参加学科竞赛活动奖励补充说明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s="仿宋"/>
          <w:color w:val="auto"/>
          <w:sz w:val="32"/>
          <w:szCs w:val="32"/>
          <w:u w:val="none" w:color="auto"/>
          <w:lang w:val="en-US" w:eastAsia="zh-CN"/>
        </w:rPr>
      </w:pPr>
      <w:r>
        <w:rPr>
          <w:rFonts w:hint="eastAsia" w:cs="仿宋"/>
          <w:color w:val="auto"/>
          <w:sz w:val="32"/>
          <w:szCs w:val="32"/>
          <w:u w:val="none" w:color="auto"/>
          <w:lang w:val="en-US" w:eastAsia="zh-CN"/>
        </w:rPr>
        <w:t>各二级单位：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cs="仿宋"/>
          <w:color w:val="auto"/>
          <w:sz w:val="28"/>
          <w:szCs w:val="28"/>
          <w:u w:val="none" w:color="auto"/>
          <w:lang w:val="en-US" w:eastAsia="zh-CN"/>
        </w:rPr>
      </w:pPr>
      <w:r>
        <w:rPr>
          <w:rFonts w:hint="eastAsia" w:cs="仿宋"/>
          <w:color w:val="auto"/>
          <w:sz w:val="32"/>
          <w:szCs w:val="32"/>
          <w:u w:val="none" w:color="auto"/>
          <w:lang w:val="en-US" w:eastAsia="zh-CN"/>
        </w:rPr>
        <w:t>为进一步做好我院2024年学科竞赛活动奖励工作，保障竞赛活动正常有序地进行，鼓励师生参加赛事水平更高、含金量更高的学科竞赛，达到竞赛目标，经学院竞赛工作委员会研究决定，现对师生参加学科竞赛活动奖励作补充说明。</w:t>
      </w:r>
    </w:p>
    <w:p>
      <w:pPr>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sz w:val="32"/>
          <w:szCs w:val="32"/>
          <w:lang w:val="en-US" w:eastAsia="zh-CN"/>
        </w:rPr>
        <w:t>适用学生</w:t>
      </w:r>
      <w:r>
        <w:rPr>
          <w:rFonts w:hint="eastAsia" w:ascii="仿宋" w:hAnsi="仿宋" w:eastAsia="仿宋"/>
          <w:sz w:val="32"/>
          <w:szCs w:val="32"/>
          <w:lang w:eastAsia="zh-CN"/>
        </w:rPr>
        <w:t>）</w:t>
      </w:r>
    </w:p>
    <w:tbl>
      <w:tblPr>
        <w:tblStyle w:val="5"/>
        <w:tblpPr w:leftFromText="180" w:rightFromText="180" w:vertAnchor="text" w:horzAnchor="page" w:tblpXSpec="center" w:tblpY="354"/>
        <w:tblOverlap w:val="never"/>
        <w:tblW w:w="10292" w:type="dxa"/>
        <w:jc w:val="center"/>
        <w:shd w:val="clear" w:color="auto" w:fill="auto"/>
        <w:tblLayout w:type="fixed"/>
        <w:tblCellMar>
          <w:top w:w="0" w:type="dxa"/>
          <w:left w:w="108" w:type="dxa"/>
          <w:bottom w:w="0" w:type="dxa"/>
          <w:right w:w="108" w:type="dxa"/>
        </w:tblCellMar>
      </w:tblPr>
      <w:tblGrid>
        <w:gridCol w:w="1668"/>
        <w:gridCol w:w="1790"/>
        <w:gridCol w:w="2088"/>
        <w:gridCol w:w="253"/>
        <w:gridCol w:w="1878"/>
        <w:gridCol w:w="825"/>
        <w:gridCol w:w="1790"/>
      </w:tblGrid>
      <w:tr>
        <w:trPr>
          <w:trHeight w:val="23" w:hRule="atLeas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级别/奖励</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学生学分认定</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及成绩奖励</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学生奖学金</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加分奖励</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bidi="zh-CN"/>
              </w:rPr>
            </w:pPr>
            <w:r>
              <w:rPr>
                <w:rFonts w:hint="eastAsia" w:ascii="仿宋" w:hAnsi="仿宋" w:eastAsia="仿宋" w:cs="仿宋"/>
                <w:b/>
                <w:bCs/>
                <w:i w:val="0"/>
                <w:iCs w:val="0"/>
                <w:color w:val="000000"/>
                <w:kern w:val="0"/>
                <w:sz w:val="24"/>
                <w:szCs w:val="24"/>
                <w:u w:val="none"/>
                <w:lang w:val="en-US" w:eastAsia="zh-CN" w:bidi="ar"/>
              </w:rPr>
              <w:t>级别</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学生</w:t>
            </w:r>
            <w:r>
              <w:rPr>
                <w:rFonts w:hint="eastAsia" w:ascii="仿宋" w:hAnsi="仿宋" w:eastAsia="仿宋" w:cs="仿宋"/>
                <w:b/>
                <w:bCs/>
                <w:i w:val="0"/>
                <w:iCs w:val="0"/>
                <w:color w:val="000000"/>
                <w:kern w:val="0"/>
                <w:sz w:val="24"/>
                <w:szCs w:val="24"/>
                <w:u w:val="none"/>
                <w:lang w:val="en-US" w:eastAsia="zh-CN" w:bidi="ar"/>
              </w:rPr>
              <w:t>奖金奖励</w:t>
            </w:r>
          </w:p>
        </w:tc>
      </w:tr>
      <w:tr>
        <w:tblPrEx>
          <w:shd w:val="clear" w:color="auto" w:fill="auto"/>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A类竞赛</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国家级奖项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省厅体系竞赛</w:t>
            </w:r>
            <w:r>
              <w:rPr>
                <w:rFonts w:hint="eastAsia" w:cs="仿宋"/>
                <w:i w:val="0"/>
                <w:iCs w:val="0"/>
                <w:color w:val="000000"/>
                <w:kern w:val="0"/>
                <w:sz w:val="24"/>
                <w:szCs w:val="24"/>
                <w:u w:val="none"/>
                <w:lang w:val="en-US" w:eastAsia="zh-CN" w:bidi="ar"/>
              </w:rPr>
              <w:t>国</w:t>
            </w:r>
            <w:r>
              <w:rPr>
                <w:rFonts w:hint="eastAsia" w:ascii="仿宋" w:hAnsi="仿宋" w:eastAsia="仿宋" w:cs="仿宋"/>
                <w:i w:val="0"/>
                <w:iCs w:val="0"/>
                <w:color w:val="000000"/>
                <w:kern w:val="0"/>
                <w:sz w:val="24"/>
                <w:szCs w:val="24"/>
                <w:u w:val="none"/>
                <w:lang w:val="en-US" w:eastAsia="zh-CN" w:bidi="ar"/>
              </w:rPr>
              <w:t>家级奖项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w:t>
            </w:r>
          </w:p>
        </w:tc>
      </w:tr>
      <w:tr>
        <w:tblPrEx>
          <w:shd w:val="clear" w:color="auto" w:fill="auto"/>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A类竞赛</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省级奖项</w:t>
            </w:r>
          </w:p>
        </w:tc>
        <w:tc>
          <w:tcPr>
            <w:tcW w:w="170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省级</w:t>
            </w:r>
          </w:p>
        </w:tc>
        <w:tc>
          <w:tcPr>
            <w:tcW w:w="198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省级</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省厅体系竞赛省级奖项</w:t>
            </w:r>
          </w:p>
        </w:tc>
        <w:tc>
          <w:tcPr>
            <w:tcW w:w="78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w:t>
            </w:r>
          </w:p>
        </w:tc>
      </w:tr>
      <w:tr>
        <w:tblPrEx>
          <w:shd w:val="clear" w:color="auto" w:fill="auto"/>
        </w:tblPrEx>
        <w:trPr>
          <w:trHeight w:val="340" w:hRule="exact"/>
          <w:jc w:val="center"/>
        </w:trPr>
        <w:tc>
          <w:tcPr>
            <w:tcW w:w="158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B类甲等</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国家级奖项</w:t>
            </w:r>
          </w:p>
        </w:tc>
        <w:tc>
          <w:tcPr>
            <w:tcW w:w="17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省级</w:t>
            </w:r>
          </w:p>
        </w:tc>
        <w:tc>
          <w:tcPr>
            <w:tcW w:w="198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省级</w:t>
            </w:r>
          </w:p>
        </w:tc>
        <w:tc>
          <w:tcPr>
            <w:tcW w:w="240" w:type="dxa"/>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全国榜单竞赛国家级奖项</w:t>
            </w:r>
          </w:p>
        </w:tc>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zh-CN" w:eastAsia="zh-CN" w:bidi="zh-CN"/>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w:t>
            </w:r>
          </w:p>
        </w:tc>
      </w:tr>
      <w:tr>
        <w:tblPrEx>
          <w:shd w:val="clear" w:color="auto" w:fill="auto"/>
        </w:tblPrEx>
        <w:trPr>
          <w:trHeight w:val="340" w:hRule="exact"/>
          <w:jc w:val="center"/>
        </w:trPr>
        <w:tc>
          <w:tcPr>
            <w:tcW w:w="15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8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①</w:t>
            </w:r>
          </w:p>
        </w:tc>
        <w:tc>
          <w:tcPr>
            <w:tcW w:w="170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降等</w:t>
            </w:r>
            <w:r>
              <w:rPr>
                <w:rFonts w:hint="eastAsia" w:cs="仿宋"/>
                <w:i w:val="0"/>
                <w:iCs w:val="0"/>
                <w:color w:val="000000"/>
                <w:kern w:val="0"/>
                <w:sz w:val="24"/>
                <w:szCs w:val="24"/>
                <w:u w:val="none"/>
                <w:lang w:val="en-US" w:eastAsia="zh-CN" w:bidi="ar"/>
              </w:rPr>
              <w:t>认定</w:t>
            </w:r>
          </w:p>
        </w:tc>
      </w:tr>
      <w:tr>
        <w:tblPrEx>
          <w:shd w:val="clear" w:color="auto" w:fill="auto"/>
        </w:tblPrEx>
        <w:trPr>
          <w:trHeight w:val="340" w:hRule="exact"/>
          <w:jc w:val="center"/>
        </w:trPr>
        <w:tc>
          <w:tcPr>
            <w:tcW w:w="15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sz w:val="24"/>
                <w:szCs w:val="24"/>
                <w:lang w:val="en-US" w:eastAsia="zh-CN"/>
              </w:rPr>
              <w:t>②</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降级</w:t>
            </w:r>
            <w:r>
              <w:rPr>
                <w:rFonts w:hint="eastAsia" w:cs="仿宋"/>
                <w:i w:val="0"/>
                <w:iCs w:val="0"/>
                <w:color w:val="000000"/>
                <w:kern w:val="0"/>
                <w:sz w:val="24"/>
                <w:szCs w:val="24"/>
                <w:u w:val="none"/>
                <w:lang w:val="en-US" w:eastAsia="zh-CN" w:bidi="ar"/>
              </w:rPr>
              <w:t>认定</w:t>
            </w:r>
          </w:p>
        </w:tc>
      </w:tr>
      <w:tr>
        <w:tblPrEx>
          <w:shd w:val="clear" w:color="auto" w:fill="auto"/>
        </w:tblPrEx>
        <w:trPr>
          <w:trHeight w:val="340" w:hRule="exact"/>
          <w:jc w:val="center"/>
        </w:trPr>
        <w:tc>
          <w:tcPr>
            <w:tcW w:w="158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B类甲等</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省级奖项</w:t>
            </w:r>
          </w:p>
        </w:tc>
        <w:tc>
          <w:tcPr>
            <w:tcW w:w="17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校级</w:t>
            </w:r>
          </w:p>
        </w:tc>
        <w:tc>
          <w:tcPr>
            <w:tcW w:w="198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校级</w:t>
            </w:r>
          </w:p>
        </w:tc>
        <w:tc>
          <w:tcPr>
            <w:tcW w:w="240" w:type="dxa"/>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全国榜单竞赛省级奖项</w:t>
            </w:r>
          </w:p>
        </w:tc>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zh-CN" w:eastAsia="zh-CN" w:bidi="zh-CN"/>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w:t>
            </w:r>
          </w:p>
        </w:tc>
      </w:tr>
      <w:tr>
        <w:tblPrEx>
          <w:shd w:val="clear" w:color="auto" w:fill="auto"/>
        </w:tblPrEx>
        <w:trPr>
          <w:trHeight w:val="340" w:hRule="exact"/>
          <w:jc w:val="center"/>
        </w:trPr>
        <w:tc>
          <w:tcPr>
            <w:tcW w:w="15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zh-CN" w:eastAsia="zh-CN" w:bidi="zh-CN"/>
              </w:rPr>
            </w:pPr>
            <w:r>
              <w:rPr>
                <w:rFonts w:hint="eastAsia" w:cs="仿宋"/>
                <w:sz w:val="24"/>
                <w:szCs w:val="24"/>
                <w:lang w:val="en-US" w:eastAsia="zh-CN"/>
              </w:rPr>
              <w:t>③</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降等</w:t>
            </w:r>
            <w:r>
              <w:rPr>
                <w:rFonts w:hint="eastAsia" w:cs="仿宋"/>
                <w:i w:val="0"/>
                <w:iCs w:val="0"/>
                <w:color w:val="000000"/>
                <w:kern w:val="0"/>
                <w:sz w:val="24"/>
                <w:szCs w:val="24"/>
                <w:u w:val="none"/>
                <w:lang w:val="en-US" w:eastAsia="zh-CN" w:bidi="ar"/>
              </w:rPr>
              <w:t>认定</w:t>
            </w:r>
          </w:p>
        </w:tc>
      </w:tr>
      <w:tr>
        <w:tblPrEx>
          <w:shd w:val="clear" w:color="auto" w:fill="auto"/>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B类乙等竞赛</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国家级奖项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降级降等</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（例国二-省三）</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国家级奖项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r>
      <w:tr>
        <w:tblPrEx>
          <w:shd w:val="clear" w:color="auto" w:fill="auto"/>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B类乙等竞赛</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省级奖项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无</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降级降等</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（例省二-校三）</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省级奖项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r>
    </w:tbl>
    <w:p>
      <w:pPr>
        <w:jc w:val="center"/>
        <w:rPr>
          <w:rFonts w:hint="eastAsia" w:ascii="仿宋" w:hAnsi="仿宋" w:eastAsia="仿宋"/>
          <w:sz w:val="28"/>
          <w:szCs w:val="28"/>
          <w:lang w:eastAsia="zh-CN"/>
        </w:rPr>
      </w:pPr>
    </w:p>
    <w:p>
      <w:pPr>
        <w:keepNext w:val="0"/>
        <w:keepLines w:val="0"/>
        <w:pageBreakBefore w:val="0"/>
        <w:widowControl w:val="0"/>
        <w:tabs>
          <w:tab w:val="left" w:pos="3960"/>
        </w:tabs>
        <w:kinsoku/>
        <w:wordWrap/>
        <w:overflowPunct/>
        <w:topLinePunct w:val="0"/>
        <w:autoSpaceDE w:val="0"/>
        <w:autoSpaceDN w:val="0"/>
        <w:bidi w:val="0"/>
        <w:adjustRightInd/>
        <w:snapToGrid/>
        <w:spacing w:line="360" w:lineRule="auto"/>
        <w:ind w:firstLine="640" w:firstLineChars="200"/>
        <w:jc w:val="left"/>
        <w:textAlignment w:val="auto"/>
        <w:rPr>
          <w:rFonts w:hint="default" w:ascii="仿宋" w:hAnsi="仿宋" w:eastAsia="仿宋"/>
          <w:sz w:val="32"/>
          <w:szCs w:val="32"/>
          <w:lang w:val="en-US" w:eastAsia="zh-CN"/>
        </w:rPr>
      </w:pPr>
      <w:r>
        <w:rPr>
          <w:rFonts w:hint="eastAsia" w:cs="仿宋"/>
          <w:sz w:val="32"/>
          <w:szCs w:val="32"/>
          <w:lang w:val="en-US" w:eastAsia="zh-CN"/>
        </w:rPr>
        <w:t>1.①指有赛道设省级（区域）选拔，省赛推荐国赛比例≥25%的；②指有赛道未设省级（区域）选拔或设省级（区域）选拔，省赛推荐国赛比例≥50%的；③指有赛道设省级选拔的（含区域），省赛获奖比例≥</w:t>
      </w:r>
      <w:r>
        <w:rPr>
          <w:rFonts w:hint="eastAsia" w:cs="仿宋"/>
          <w:b w:val="0"/>
          <w:bCs w:val="0"/>
          <w:color w:val="auto"/>
          <w:sz w:val="32"/>
          <w:szCs w:val="32"/>
          <w:lang w:val="en-US" w:eastAsia="zh-CN"/>
        </w:rPr>
        <w:t>50%的</w:t>
      </w:r>
      <w:r>
        <w:rPr>
          <w:rFonts w:hint="eastAsia" w:cs="仿宋"/>
          <w:sz w:val="32"/>
          <w:szCs w:val="32"/>
          <w:lang w:val="en-US" w:eastAsia="zh-CN"/>
        </w:rPr>
        <w:t>。各竞赛限制一所学校报送5支队伍以内（含5支），或限制一所学校报送3支队伍/赛道以内（含3支）且赛道在2个以内（含2个）的，不在</w:t>
      </w:r>
      <w:r>
        <w:rPr>
          <w:rFonts w:hint="eastAsia" w:ascii="仿宋" w:hAnsi="仿宋" w:eastAsia="仿宋" w:cs="仿宋"/>
          <w:sz w:val="32"/>
          <w:szCs w:val="32"/>
          <w:lang w:val="en-US" w:eastAsia="zh-CN"/>
        </w:rPr>
        <w:t>①</w:t>
      </w:r>
      <w:r>
        <w:rPr>
          <w:rFonts w:hint="eastAsia" w:ascii="宋体" w:hAnsi="宋体" w:eastAsia="宋体" w:cs="宋体"/>
          <w:sz w:val="32"/>
          <w:szCs w:val="32"/>
          <w:lang w:val="en-US" w:eastAsia="zh-CN"/>
        </w:rPr>
        <w:t>②</w:t>
      </w:r>
      <w:r>
        <w:rPr>
          <w:rFonts w:hint="eastAsia" w:cs="仿宋"/>
          <w:sz w:val="32"/>
          <w:szCs w:val="32"/>
          <w:lang w:val="en-US" w:eastAsia="zh-CN"/>
        </w:rPr>
        <w:t>③范围内。同时列入浙江省教育厅分类评价体系和全国普通高校学科竞赛排行榜的竞赛，按前者认定。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default" w:ascii="仿宋" w:hAnsi="仿宋" w:eastAsia="仿宋"/>
          <w:sz w:val="32"/>
          <w:szCs w:val="32"/>
          <w:lang w:val="en-US" w:eastAsia="zh-CN"/>
        </w:rPr>
      </w:pPr>
      <w:r>
        <w:rPr>
          <w:rFonts w:hint="eastAsia"/>
          <w:sz w:val="32"/>
          <w:szCs w:val="32"/>
          <w:lang w:val="en-US" w:eastAsia="zh-CN"/>
        </w:rPr>
        <w:t>2</w:t>
      </w:r>
      <w:r>
        <w:rPr>
          <w:rFonts w:hint="eastAsia" w:ascii="仿宋" w:hAnsi="仿宋" w:eastAsia="仿宋"/>
          <w:sz w:val="32"/>
          <w:szCs w:val="32"/>
          <w:lang w:val="en-US" w:eastAsia="zh-CN"/>
        </w:rPr>
        <w:t>.参加B类乙等赛事获奖，无奖金奖励，其他奖励标准降级降等认定：例获得国家级二等奖，相关奖励按省级三等奖认定；获得国家级优胜奖，相关奖励标准不高于省级优胜奖；无校级标准的奖励，则无奖励（B类乙等赛事组织院赛颁发院级奖项的，相关奖励按院级认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sz w:val="32"/>
          <w:szCs w:val="32"/>
          <w:lang w:val="en-US" w:eastAsia="zh-CN"/>
        </w:rPr>
      </w:pPr>
      <w:r>
        <w:rPr>
          <w:rFonts w:hint="eastAsia"/>
          <w:sz w:val="32"/>
          <w:szCs w:val="32"/>
          <w:lang w:val="en-US" w:eastAsia="zh-CN"/>
        </w:rPr>
        <w:t>3</w:t>
      </w:r>
      <w:r>
        <w:rPr>
          <w:rFonts w:hint="eastAsia" w:ascii="仿宋" w:hAnsi="仿宋" w:eastAsia="仿宋"/>
          <w:sz w:val="32"/>
          <w:szCs w:val="32"/>
          <w:lang w:val="en-US" w:eastAsia="zh-CN"/>
        </w:rPr>
        <w:t>.学院组织的各省赛选拔赛中，</w:t>
      </w:r>
      <w:r>
        <w:rPr>
          <w:rFonts w:hint="eastAsia"/>
          <w:sz w:val="32"/>
          <w:szCs w:val="32"/>
          <w:lang w:val="en-US" w:eastAsia="zh-CN"/>
        </w:rPr>
        <w:t>“创新大赛”</w:t>
      </w:r>
      <w:r>
        <w:rPr>
          <w:rFonts w:hint="eastAsia" w:ascii="仿宋" w:hAnsi="仿宋" w:eastAsia="仿宋"/>
          <w:sz w:val="32"/>
          <w:szCs w:val="32"/>
          <w:lang w:val="en-US" w:eastAsia="zh-CN"/>
        </w:rPr>
        <w:t>、“挑战杯”认定为校级竞</w:t>
      </w:r>
      <w:bookmarkStart w:id="0" w:name="_GoBack"/>
      <w:bookmarkEnd w:id="0"/>
      <w:r>
        <w:rPr>
          <w:rFonts w:hint="eastAsia" w:ascii="仿宋" w:hAnsi="仿宋" w:eastAsia="仿宋"/>
          <w:sz w:val="32"/>
          <w:szCs w:val="32"/>
          <w:lang w:val="en-US" w:eastAsia="zh-CN"/>
        </w:rPr>
        <w:t>赛，相关奖励按校级执行，其余认定为院级竞赛。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sz w:val="32"/>
          <w:szCs w:val="32"/>
          <w:lang w:val="en-US" w:eastAsia="zh-CN"/>
        </w:rPr>
      </w:pPr>
      <w:r>
        <w:rPr>
          <w:rFonts w:hint="eastAsia"/>
          <w:sz w:val="32"/>
          <w:szCs w:val="32"/>
          <w:lang w:val="en-US" w:eastAsia="zh-CN"/>
        </w:rPr>
        <w:t>4</w:t>
      </w:r>
      <w:r>
        <w:rPr>
          <w:rFonts w:hint="eastAsia" w:ascii="仿宋" w:hAnsi="仿宋" w:eastAsia="仿宋"/>
          <w:sz w:val="32"/>
          <w:szCs w:val="32"/>
          <w:lang w:val="en-US" w:eastAsia="zh-CN"/>
        </w:rPr>
        <w:t>.学生学分认定、成绩奖励有关规定见学生手册《关于学生参加学科竞赛活动有关学业奖励的规定（试行）》（信息教〔2012〕45号）、关于印发《关于学生参加学科竞赛活动有关学业奖励的补充规定》的通知（信工科〔2022〕2号）；学生奖学金加分奖励有关规定见学生手册《杭州电子科技大学信息工程学院学生综合素质测评实施办法（试行》（信息学〔2018〕13号）文件、《杭州电子科技大学信息工程学院学生发展水平综合测评实施办法（试行）》（信息学〔2020〕4号）文件。</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sz w:val="32"/>
          <w:szCs w:val="32"/>
          <w:lang w:val="en-US" w:eastAsia="zh-CN"/>
        </w:rPr>
      </w:pPr>
    </w:p>
    <w:sectPr>
      <w:pgSz w:w="11910" w:h="16840"/>
      <w:pgMar w:top="873" w:right="1800" w:bottom="873" w:left="18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08228053-B96C-1C8A-6BEB-DE665C792D38}"/>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A00925F1-4F19-B6DB-6BEB-DE663A20AF96}"/>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GJlZGQ4OWE5YzMwM2NjMjc5YjkwMzM1NmE0ZTIifQ=="/>
    <w:docVar w:name="KSO_WPS_MARK_KEY" w:val="2c68f6f0-a3d1-4fea-990d-d78ac7b68b8e"/>
  </w:docVars>
  <w:rsids>
    <w:rsidRoot w:val="00E50713"/>
    <w:rsid w:val="003A75E1"/>
    <w:rsid w:val="00586EDE"/>
    <w:rsid w:val="00706AEB"/>
    <w:rsid w:val="008F2407"/>
    <w:rsid w:val="009F4C1B"/>
    <w:rsid w:val="00E50713"/>
    <w:rsid w:val="00F66F31"/>
    <w:rsid w:val="03D12DA0"/>
    <w:rsid w:val="052276F1"/>
    <w:rsid w:val="065B513F"/>
    <w:rsid w:val="07096F96"/>
    <w:rsid w:val="074B4A60"/>
    <w:rsid w:val="095F0255"/>
    <w:rsid w:val="0A366856"/>
    <w:rsid w:val="10E93FE5"/>
    <w:rsid w:val="199C078A"/>
    <w:rsid w:val="1BBD4475"/>
    <w:rsid w:val="1D9F3DFA"/>
    <w:rsid w:val="1E725B84"/>
    <w:rsid w:val="20142AD8"/>
    <w:rsid w:val="2147750C"/>
    <w:rsid w:val="22162737"/>
    <w:rsid w:val="2370769E"/>
    <w:rsid w:val="26CC0028"/>
    <w:rsid w:val="2877060F"/>
    <w:rsid w:val="29A053DC"/>
    <w:rsid w:val="2A750617"/>
    <w:rsid w:val="2B5D498A"/>
    <w:rsid w:val="309748A0"/>
    <w:rsid w:val="30F94039"/>
    <w:rsid w:val="340E3C1E"/>
    <w:rsid w:val="34496DDE"/>
    <w:rsid w:val="389650E5"/>
    <w:rsid w:val="39F34261"/>
    <w:rsid w:val="40A00519"/>
    <w:rsid w:val="486378A9"/>
    <w:rsid w:val="4C2C7DC7"/>
    <w:rsid w:val="4C3E547F"/>
    <w:rsid w:val="4D2C1F99"/>
    <w:rsid w:val="4DB46DAD"/>
    <w:rsid w:val="4EF81E16"/>
    <w:rsid w:val="4F123DFB"/>
    <w:rsid w:val="50E13CD3"/>
    <w:rsid w:val="528A09A2"/>
    <w:rsid w:val="542D319B"/>
    <w:rsid w:val="547000BB"/>
    <w:rsid w:val="563505AC"/>
    <w:rsid w:val="56511EEE"/>
    <w:rsid w:val="58B050B5"/>
    <w:rsid w:val="59E72952"/>
    <w:rsid w:val="5B540F34"/>
    <w:rsid w:val="5B606A85"/>
    <w:rsid w:val="5DDA09B9"/>
    <w:rsid w:val="5F817D87"/>
    <w:rsid w:val="5FD31387"/>
    <w:rsid w:val="6183585B"/>
    <w:rsid w:val="61B02726"/>
    <w:rsid w:val="61E90079"/>
    <w:rsid w:val="647C250A"/>
    <w:rsid w:val="661C75BD"/>
    <w:rsid w:val="675D1C3B"/>
    <w:rsid w:val="681465FB"/>
    <w:rsid w:val="68684D3C"/>
    <w:rsid w:val="698A6785"/>
    <w:rsid w:val="6A172B79"/>
    <w:rsid w:val="6A456845"/>
    <w:rsid w:val="6A6D035D"/>
    <w:rsid w:val="6CC1722E"/>
    <w:rsid w:val="6D4C3C9C"/>
    <w:rsid w:val="6DB14286"/>
    <w:rsid w:val="6E8B5782"/>
    <w:rsid w:val="6F284CBE"/>
    <w:rsid w:val="6F5C4ECE"/>
    <w:rsid w:val="6FB61301"/>
    <w:rsid w:val="70017895"/>
    <w:rsid w:val="70407226"/>
    <w:rsid w:val="724F2AC9"/>
    <w:rsid w:val="74A60094"/>
    <w:rsid w:val="75276EE1"/>
    <w:rsid w:val="75746923"/>
    <w:rsid w:val="77F8576E"/>
    <w:rsid w:val="781C14B2"/>
    <w:rsid w:val="783F23A4"/>
    <w:rsid w:val="786F6250"/>
    <w:rsid w:val="7A1C6631"/>
    <w:rsid w:val="7E71160E"/>
    <w:rsid w:val="7EF65B4D"/>
    <w:rsid w:val="7F7D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474" w:right="574" w:hanging="881"/>
      <w:outlineLvl w:val="0"/>
    </w:pPr>
    <w:rPr>
      <w:rFonts w:ascii="宋体" w:hAnsi="宋体" w:eastAsia="宋体" w:cs="宋体"/>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rPr>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14"/>
      <w:ind w:left="320" w:firstLine="64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716</Characters>
  <Lines>13</Lines>
  <Paragraphs>3</Paragraphs>
  <TotalTime>6</TotalTime>
  <ScaleCrop>false</ScaleCrop>
  <LinksUpToDate>false</LinksUpToDate>
  <CharactersWithSpaces>716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2019-11-13T15:03:00Z</dcterms:created>
  <dc:creator>asus</dc:creator>
  <cp:lastModifiedBy>皇上是美男。</cp:lastModifiedBy>
  <cp:lastPrinted>2023-04-06T13:17:00Z</cp:lastPrinted>
  <dcterms:modified xsi:type="dcterms:W3CDTF">2024-09-09T20:34:51Z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WPS 文字</vt:lpwstr>
  </property>
  <property fmtid="{D5CDD505-2E9C-101B-9397-08002B2CF9AE}" pid="4" name="LastSaved">
    <vt:filetime>2019-11-06T00:00:00Z</vt:filetime>
  </property>
  <property fmtid="{D5CDD505-2E9C-101B-9397-08002B2CF9AE}" pid="5" name="KSOProductBuildVer">
    <vt:lpwstr>2052-6.5.2.8766</vt:lpwstr>
  </property>
  <property fmtid="{D5CDD505-2E9C-101B-9397-08002B2CF9AE}" pid="6" name="ICV">
    <vt:lpwstr>A926CFFFCA0B47F4A48FE27A030D9326_13</vt:lpwstr>
  </property>
</Properties>
</file>