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kinsoku/>
        <w:wordWrap/>
        <w:overflowPunct/>
        <w:topLinePunct w:val="0"/>
        <w:autoSpaceDE/>
        <w:autoSpaceDN/>
        <w:bidi w:val="0"/>
        <w:adjustRightInd/>
        <w:snapToGrid w:val="0"/>
        <w:spacing w:before="0" w:after="0" w:line="360" w:lineRule="auto"/>
        <w:jc w:val="center"/>
        <w:textAlignment w:val="auto"/>
      </w:pPr>
      <w:r>
        <w:rPr>
          <w:rFonts w:hint="eastAsia" w:ascii="黑体" w:hAnsi="宋体" w:eastAsia="黑体" w:cs="Calibri"/>
          <w:b w:val="0"/>
          <w:color w:val="000000"/>
          <w:kern w:val="44"/>
          <w:sz w:val="36"/>
          <w:szCs w:val="36"/>
          <w:lang w:val="en-US" w:eastAsia="zh-CN"/>
        </w:rPr>
        <w:t>智能化的to C财税培训平台</w:t>
      </w: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i w:val="0"/>
          <w:strike w:val="0"/>
          <w:color w:val="000000"/>
          <w:sz w:val="28"/>
          <w:u w:val="none"/>
        </w:rPr>
      </w:pPr>
      <w:r>
        <w:rPr>
          <w:rFonts w:hint="eastAsia" w:ascii="黑体" w:hAnsi="黑体" w:eastAsia="黑体" w:cs="黑体"/>
          <w:b w:val="0"/>
          <w:bCs w:val="0"/>
          <w:i w:val="0"/>
          <w:strike w:val="0"/>
          <w:color w:val="000000"/>
          <w:sz w:val="28"/>
          <w:u w:val="none"/>
        </w:rPr>
        <w:t>0、命题企业介绍</w:t>
      </w:r>
    </w:p>
    <w:p>
      <w:pPr>
        <w:snapToGrid/>
        <w:spacing w:before="0" w:after="0" w:line="300" w:lineRule="auto"/>
        <w:ind w:left="0" w:right="0" w:firstLine="42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【公司介绍】</w:t>
      </w:r>
    </w:p>
    <w:p>
      <w:pPr>
        <w:snapToGrid/>
        <w:spacing w:before="0" w:after="0" w:line="300" w:lineRule="auto"/>
        <w:ind w:left="0" w:right="0" w:firstLineChars="200"/>
        <w:rPr>
          <w:rFonts w:hint="eastAsia" w:ascii="仿宋" w:hAnsi="仿宋" w:eastAsia="仿宋" w:cs="仿宋"/>
          <w:i w:val="0"/>
          <w:strike w:val="0"/>
          <w:color w:val="000000"/>
          <w:sz w:val="28"/>
          <w:u w:val="none"/>
        </w:rPr>
      </w:pPr>
      <w:r>
        <w:rPr>
          <w:rFonts w:hint="eastAsia" w:ascii="仿宋" w:hAnsi="仿宋" w:eastAsia="仿宋" w:cs="仿宋"/>
          <w:i w:val="0"/>
          <w:strike w:val="0"/>
          <w:color w:val="000000"/>
          <w:sz w:val="28"/>
          <w:u w:val="none"/>
        </w:rPr>
        <w:t>税友软件集团股份有限公司（603171.SH）是中国领先的政务数字化系统建设商及财税人资SaaS服务提供商，成立于1999年。公司为税务机关提供税费治理数字化的开发和服务，为企事业单位提供财税和人资数智化服务，在北京、上海、广东、河北、新疆、四川等20余个省市拥有分支机构，致力于通过提供数字化服务助力数字中国的建设。</w:t>
      </w:r>
    </w:p>
    <w:p>
      <w:pPr>
        <w:snapToGrid/>
        <w:spacing w:before="0" w:after="0" w:line="300" w:lineRule="auto"/>
        <w:ind w:left="0" w:right="0" w:firstLineChars="200"/>
        <w:rPr>
          <w:rFonts w:hint="eastAsia" w:ascii="仿宋" w:hAnsi="仿宋" w:eastAsia="仿宋" w:cs="仿宋"/>
          <w:i w:val="0"/>
          <w:strike w:val="0"/>
          <w:color w:val="000000"/>
          <w:sz w:val="28"/>
          <w:u w:val="none"/>
        </w:rPr>
      </w:pPr>
      <w:r>
        <w:rPr>
          <w:rFonts w:hint="eastAsia" w:ascii="仿宋" w:hAnsi="仿宋" w:eastAsia="仿宋" w:cs="仿宋"/>
          <w:i w:val="0"/>
          <w:strike w:val="0"/>
          <w:color w:val="000000"/>
          <w:sz w:val="28"/>
          <w:u w:val="none"/>
        </w:rPr>
        <w:t>——国家税务总局重点工程（金税三期、金税四期）核心工程承建商</w:t>
      </w:r>
    </w:p>
    <w:p>
      <w:pPr>
        <w:snapToGrid/>
        <w:spacing w:before="0" w:after="0" w:line="300" w:lineRule="auto"/>
        <w:ind w:left="0" w:right="0" w:firstLineChars="200"/>
        <w:rPr>
          <w:rFonts w:hint="eastAsia" w:ascii="仿宋" w:hAnsi="仿宋" w:eastAsia="仿宋" w:cs="仿宋"/>
          <w:i w:val="0"/>
          <w:strike w:val="0"/>
          <w:color w:val="000000"/>
          <w:sz w:val="28"/>
          <w:u w:val="none"/>
        </w:rPr>
      </w:pPr>
      <w:r>
        <w:rPr>
          <w:rFonts w:hint="eastAsia" w:ascii="仿宋" w:hAnsi="仿宋" w:eastAsia="仿宋" w:cs="仿宋"/>
          <w:i w:val="0"/>
          <w:strike w:val="0"/>
          <w:color w:val="000000"/>
          <w:sz w:val="28"/>
          <w:u w:val="none"/>
        </w:rPr>
        <w:t>——新时代税费治理现代化和税务生态圈的引领者</w:t>
      </w:r>
    </w:p>
    <w:p>
      <w:pPr>
        <w:snapToGrid/>
        <w:spacing w:before="0" w:after="0" w:line="300" w:lineRule="auto"/>
        <w:ind w:left="0" w:right="0" w:firstLineChars="200"/>
        <w:rPr>
          <w:rFonts w:hint="eastAsia" w:ascii="仿宋" w:hAnsi="仿宋" w:eastAsia="仿宋" w:cs="仿宋"/>
          <w:i w:val="0"/>
          <w:strike w:val="0"/>
          <w:color w:val="000000"/>
          <w:sz w:val="28"/>
          <w:u w:val="none"/>
        </w:rPr>
      </w:pPr>
      <w:r>
        <w:rPr>
          <w:rFonts w:hint="eastAsia" w:ascii="仿宋" w:hAnsi="仿宋" w:eastAsia="仿宋" w:cs="仿宋"/>
          <w:i w:val="0"/>
          <w:strike w:val="0"/>
          <w:color w:val="000000"/>
          <w:sz w:val="28"/>
          <w:u w:val="none"/>
        </w:rPr>
        <w:t>——中国式数字经济的先行者</w:t>
      </w:r>
    </w:p>
    <w:p>
      <w:pPr>
        <w:spacing w:line="240" w:lineRule="auto"/>
        <w:rPr>
          <w:rFonts w:ascii="仿宋" w:hAnsi="仿宋" w:eastAsia="仿宋" w:cs="仿宋"/>
          <w:sz w:val="24"/>
          <w:szCs w:val="24"/>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i w:val="0"/>
          <w:strike w:val="0"/>
          <w:color w:val="000000"/>
          <w:sz w:val="28"/>
          <w:u w:val="none"/>
        </w:rPr>
      </w:pPr>
      <w:r>
        <w:rPr>
          <w:rFonts w:hint="eastAsia" w:ascii="黑体" w:hAnsi="黑体" w:eastAsia="黑体" w:cs="黑体"/>
          <w:b w:val="0"/>
          <w:bCs w:val="0"/>
          <w:i w:val="0"/>
          <w:strike w:val="0"/>
          <w:color w:val="000000"/>
          <w:sz w:val="28"/>
          <w:u w:val="none"/>
        </w:rPr>
        <w:t>1、背景说明</w:t>
      </w:r>
    </w:p>
    <w:p>
      <w:pPr>
        <w:pBdr>
          <w:bottom w:val="none" w:color="auto" w:sz="0" w:space="0"/>
        </w:pBdr>
        <w:snapToGrid/>
        <w:spacing w:before="0" w:after="0" w:line="300" w:lineRule="auto"/>
        <w:ind w:left="0" w:right="0" w:firstLine="420"/>
        <w:rPr>
          <w:rFonts w:hint="eastAsia" w:ascii="宋体" w:hAnsi="宋体" w:eastAsia="宋体" w:cs="宋体"/>
          <w:b/>
          <w:sz w:val="28"/>
        </w:rPr>
      </w:pPr>
      <w:r>
        <w:rPr>
          <w:rFonts w:hint="eastAsia" w:ascii="宋体" w:hAnsi="宋体" w:eastAsia="宋体" w:cs="宋体"/>
          <w:b/>
          <w:i w:val="0"/>
          <w:strike w:val="0"/>
          <w:color w:val="000000"/>
          <w:sz w:val="28"/>
          <w:u w:val="none"/>
        </w:rPr>
        <w:t>【项目的行业背景】</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近年来，中国财税培训行业迎来显著发展。首先，得益于中国经济飞速发展，企业对财务人才的需求大增，"十四五"规划会计人员将在2025年达到1200多万。其次，财经教育的大规模扩招和同质化教育，引发毕业生竞争激烈。众多学生和从业者争相向高端岗位转型，相关职业资格考试如注册会计师考试的报名人数每年超过百万。</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未来财税培训行业市场空间有望进一步拓宽。由于中国经济的持续发展和财经专业毕业生数量的不断攀升，预计专业财务人才的需求和对高端岗位的追求将持续增长，有望推动财税培训行业进一步壮大。</w:t>
      </w:r>
    </w:p>
    <w:p>
      <w:pPr>
        <w:spacing w:line="240" w:lineRule="auto"/>
        <w:rPr>
          <w:rFonts w:ascii="仿宋" w:hAnsi="仿宋" w:eastAsia="仿宋" w:cs="仿宋"/>
          <w:sz w:val="24"/>
          <w:szCs w:val="24"/>
        </w:rPr>
      </w:pPr>
    </w:p>
    <w:p>
      <w:pPr>
        <w:pBdr>
          <w:bottom w:val="none" w:color="auto" w:sz="0" w:space="0"/>
        </w:pBdr>
        <w:snapToGrid/>
        <w:spacing w:before="0" w:after="0" w:line="300" w:lineRule="auto"/>
        <w:ind w:left="0" w:right="0" w:firstLine="420"/>
        <w:rPr>
          <w:rFonts w:hint="eastAsia" w:ascii="宋体" w:hAnsi="宋体" w:eastAsia="宋体" w:cs="宋体"/>
          <w:b/>
          <w:i w:val="0"/>
          <w:strike w:val="0"/>
          <w:color w:val="000000"/>
          <w:sz w:val="28"/>
          <w:u w:val="none"/>
        </w:rPr>
      </w:pPr>
      <w:r>
        <w:rPr>
          <w:rFonts w:hint="eastAsia" w:ascii="宋体" w:hAnsi="宋体" w:eastAsia="宋体" w:cs="宋体"/>
          <w:b/>
          <w:i w:val="0"/>
          <w:strike w:val="0"/>
          <w:color w:val="000000"/>
          <w:sz w:val="28"/>
          <w:u w:val="none"/>
        </w:rPr>
        <w:t>【项目的客户背景】</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亿企赢网络科技有限公司由税友集团于2016年创立。是一个致力于向全国千万企业和财税人士提供企业财税综合服务和个人职业成长服务的专业平台。</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亿企赢以“共创财税价值”为使命，围绕财税代理、中小企业、企业集团等三大客群的业财税等管理需求，利用大数据、云计算、人工智能、知识图谱等技术，依托SaaS云平台，结合对财税业务的深刻理解，打造智能化效率工具和数据服务，帮助企业融合业财税，实现效率提升、业务合规和优财惠税；以培训赋能和知识服务提升财税从业者的业务能力，助力新时代财税人员从业务处理型职员升级转型为管理型人才。</w:t>
      </w:r>
    </w:p>
    <w:p>
      <w:pPr>
        <w:pBdr>
          <w:bottom w:val="none" w:color="auto" w:sz="0" w:space="0"/>
        </w:pBdr>
        <w:snapToGrid w:val="0"/>
        <w:spacing w:before="60" w:after="60" w:line="312" w:lineRule="auto"/>
        <w:rPr>
          <w:rFonts w:ascii="仿宋" w:hAnsi="仿宋" w:eastAsia="仿宋" w:cs="仿宋"/>
          <w:sz w:val="26"/>
        </w:rPr>
      </w:pPr>
      <w:r>
        <w:rPr>
          <w:rFonts w:hint="eastAsia" w:ascii="仿宋" w:hAnsi="仿宋" w:eastAsia="仿宋" w:cs="仿宋"/>
          <w:sz w:val="26"/>
          <w:lang w:val="en-US" w:eastAsia="zh-CN"/>
        </w:rPr>
        <w:t xml:space="preserve">    </w:t>
      </w:r>
      <w:r>
        <w:rPr>
          <w:rFonts w:ascii="仿宋" w:hAnsi="仿宋" w:eastAsia="仿宋" w:cs="仿宋"/>
          <w:sz w:val="24"/>
        </w:rPr>
        <w:t>注释：“</w:t>
      </w:r>
      <w:r>
        <w:rPr>
          <w:rFonts w:ascii="仿宋" w:hAnsi="仿宋" w:eastAsia="仿宋" w:cs="仿宋"/>
          <w:b w:val="0"/>
          <w:i w:val="0"/>
          <w:strike w:val="0"/>
          <w:spacing w:val="0"/>
          <w:sz w:val="24"/>
          <w:u w:val="none"/>
        </w:rPr>
        <w:t>业财税”指的是业务财务税务一体化，是将企业经营的业务流程、财务会计流程、管理流程3大流程有机融合，实现业务财务税务融合及管控一体化。财务系统通过与业务系统的集成，实现核算数据自动归集和生成。同时，系统支持各分支模块数据的报表查询。解决数据不及时、数据不连贯、数据不准确等问题，实现业务数据和财务数据同步、同源、统一。</w:t>
      </w:r>
    </w:p>
    <w:p>
      <w:pPr>
        <w:spacing w:line="240" w:lineRule="auto"/>
        <w:rPr>
          <w:rFonts w:ascii="仿宋" w:hAnsi="仿宋" w:eastAsia="仿宋" w:cs="仿宋"/>
          <w:sz w:val="24"/>
          <w:szCs w:val="24"/>
        </w:rPr>
      </w:pPr>
    </w:p>
    <w:p>
      <w:pPr>
        <w:pBdr>
          <w:bottom w:val="none" w:color="auto" w:sz="0" w:space="0"/>
        </w:pBdr>
        <w:snapToGrid/>
        <w:spacing w:before="0" w:after="0" w:line="300" w:lineRule="auto"/>
        <w:ind w:left="0" w:right="0" w:firstLine="420"/>
        <w:rPr>
          <w:rFonts w:hint="eastAsia" w:ascii="宋体" w:hAnsi="宋体" w:eastAsia="宋体" w:cs="宋体"/>
          <w:b/>
          <w:i w:val="0"/>
          <w:strike w:val="0"/>
          <w:color w:val="000000"/>
          <w:sz w:val="28"/>
          <w:u w:val="none"/>
        </w:rPr>
      </w:pPr>
      <w:r>
        <w:rPr>
          <w:rFonts w:hint="eastAsia" w:ascii="宋体" w:hAnsi="宋体" w:eastAsia="宋体" w:cs="宋体"/>
          <w:b/>
          <w:i w:val="0"/>
          <w:strike w:val="0"/>
          <w:color w:val="000000"/>
          <w:sz w:val="28"/>
          <w:u w:val="none"/>
        </w:rPr>
        <w:t>【项目的业务背景】</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 xml:space="preserve">亿企赢立足财税行业，该公司拥有丰富的财税专业知识和经验，以及一支专业的教师团队，精心打造培训业务，满足专业财务人才成长的需求。 </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该项目拟构建一个面向财税专业人员的线上财税培训平台，包括录播课程、直播课程等多种形式。希望通过有效的数字化、智能化手段，</w:t>
      </w:r>
      <w:r>
        <w:rPr>
          <w:rFonts w:ascii="仿宋" w:hAnsi="仿宋" w:eastAsia="仿宋" w:cs="仿宋"/>
          <w:b/>
          <w:bCs/>
          <w:i w:val="0"/>
          <w:strike w:val="0"/>
          <w:color w:val="FF0000"/>
          <w:sz w:val="28"/>
          <w:u w:val="none"/>
        </w:rPr>
        <w:t>为受训者提供更新颖的培训体验，提高培训效果</w:t>
      </w:r>
      <w:r>
        <w:rPr>
          <w:rFonts w:ascii="仿宋" w:hAnsi="仿宋" w:eastAsia="仿宋" w:cs="仿宋"/>
          <w:i w:val="0"/>
          <w:strike w:val="0"/>
          <w:color w:val="000000"/>
          <w:sz w:val="28"/>
          <w:u w:val="none"/>
        </w:rPr>
        <w:t>。</w:t>
      </w:r>
    </w:p>
    <w:p>
      <w:pPr>
        <w:spacing w:line="240" w:lineRule="auto"/>
        <w:rPr>
          <w:rFonts w:ascii="仿宋" w:hAnsi="仿宋" w:eastAsia="仿宋" w:cs="仿宋"/>
          <w:sz w:val="24"/>
          <w:szCs w:val="24"/>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i w:val="0"/>
          <w:strike w:val="0"/>
          <w:color w:val="000000"/>
          <w:sz w:val="28"/>
          <w:u w:val="none"/>
        </w:rPr>
      </w:pPr>
      <w:r>
        <w:rPr>
          <w:rFonts w:hint="eastAsia" w:ascii="黑体" w:hAnsi="黑体" w:eastAsia="黑体" w:cs="黑体"/>
          <w:b w:val="0"/>
          <w:bCs w:val="0"/>
          <w:i w:val="0"/>
          <w:strike w:val="0"/>
          <w:color w:val="000000"/>
          <w:sz w:val="28"/>
          <w:u w:val="none"/>
        </w:rPr>
        <w:t>2、项目说明</w:t>
      </w:r>
    </w:p>
    <w:p>
      <w:pPr>
        <w:pBdr>
          <w:bottom w:val="none" w:color="auto" w:sz="0" w:space="0"/>
        </w:pBdr>
        <w:snapToGrid/>
        <w:spacing w:before="0" w:after="0" w:line="300" w:lineRule="auto"/>
        <w:ind w:left="0" w:right="0" w:firstLine="420"/>
        <w:rPr>
          <w:rFonts w:hint="eastAsia" w:ascii="宋体" w:hAnsi="宋体" w:eastAsia="宋体" w:cs="宋体"/>
          <w:b/>
          <w:i w:val="0"/>
          <w:strike w:val="0"/>
          <w:color w:val="000000"/>
          <w:sz w:val="28"/>
          <w:u w:val="none"/>
        </w:rPr>
      </w:pPr>
      <w:r>
        <w:rPr>
          <w:rFonts w:hint="eastAsia" w:ascii="宋体" w:hAnsi="宋体" w:eastAsia="宋体" w:cs="宋体"/>
          <w:b/>
          <w:i w:val="0"/>
          <w:strike w:val="0"/>
          <w:color w:val="000000"/>
          <w:sz w:val="28"/>
          <w:u w:val="none"/>
        </w:rPr>
        <w:t>【问题说明】</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由于在线平台缺少足够的学习管理机制，学生自我驱动性不强，学生可能会缺乏动力去完成课程，对学习现状不了解，效率不高。</w:t>
      </w:r>
    </w:p>
    <w:p>
      <w:pPr>
        <w:pBdr>
          <w:bottom w:val="none" w:color="auto" w:sz="0" w:space="0"/>
        </w:pBdr>
        <w:snapToGrid/>
        <w:spacing w:before="0" w:after="0" w:line="300" w:lineRule="auto"/>
        <w:ind w:left="0" w:leftChars="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而且平台没有真正需要了解学生的现状，去定制符合学生发展的课程规划，个性化不足。培训老师也不知道学生的真正需求，靠热点来生产课程，同质化高。</w:t>
      </w:r>
    </w:p>
    <w:p>
      <w:pPr>
        <w:spacing w:line="240" w:lineRule="auto"/>
        <w:rPr>
          <w:rFonts w:ascii="仿宋" w:hAnsi="仿宋" w:eastAsia="仿宋" w:cs="仿宋"/>
          <w:sz w:val="24"/>
          <w:szCs w:val="24"/>
        </w:rPr>
      </w:pPr>
    </w:p>
    <w:p>
      <w:pPr>
        <w:pBdr>
          <w:bottom w:val="none" w:color="auto" w:sz="0" w:space="0"/>
        </w:pBdr>
        <w:snapToGrid/>
        <w:spacing w:before="0" w:after="0" w:line="300" w:lineRule="auto"/>
        <w:ind w:left="0" w:right="0" w:firstLine="420"/>
        <w:rPr>
          <w:rFonts w:hint="eastAsia" w:ascii="宋体" w:hAnsi="宋体" w:eastAsia="宋体" w:cs="宋体"/>
          <w:b/>
          <w:i w:val="0"/>
          <w:strike w:val="0"/>
          <w:color w:val="000000"/>
          <w:sz w:val="28"/>
          <w:u w:val="none"/>
        </w:rPr>
      </w:pPr>
      <w:bookmarkStart w:id="0" w:name="_GoBack"/>
      <w:r>
        <w:rPr>
          <w:rFonts w:hint="eastAsia" w:ascii="宋体" w:hAnsi="宋体" w:eastAsia="宋体" w:cs="宋体"/>
          <w:b/>
          <w:i w:val="0"/>
          <w:strike w:val="0"/>
          <w:color w:val="000000"/>
          <w:sz w:val="28"/>
          <w:u w:val="none"/>
        </w:rPr>
        <w:t>【用户期望】</w:t>
      </w:r>
    </w:p>
    <w:bookmarkEnd w:id="0"/>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培训平台除了在线观看直播课程以及课程回放外，还可以通过数字人助理进行全天候实时问答互动等方式增加交流，来提高整体的学习体验。</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对学员提供个性化的学习管理功能，包括定制化课程表、课程的提醒推送、学习进度概览等提高学员的学习效率。</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对财税培训老师而言，平台可辅助课程生产和管理，通过数据分析整体学员现状以及课程反馈信息来改进优化已有课程，提升课程质量。</w:t>
      </w:r>
    </w:p>
    <w:p>
      <w:pPr>
        <w:pBdr>
          <w:bottom w:val="none" w:color="auto" w:sz="0" w:space="0"/>
        </w:pBdr>
        <w:rPr>
          <w:rFonts w:ascii="仿宋" w:hAnsi="仿宋" w:eastAsia="仿宋" w:cs="仿宋"/>
          <w:sz w:val="28"/>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i w:val="0"/>
          <w:strike w:val="0"/>
          <w:color w:val="000000"/>
          <w:sz w:val="28"/>
          <w:u w:val="none"/>
        </w:rPr>
      </w:pPr>
      <w:r>
        <w:rPr>
          <w:rFonts w:hint="eastAsia" w:ascii="黑体" w:hAnsi="黑体" w:eastAsia="黑体" w:cs="黑体"/>
          <w:b w:val="0"/>
          <w:bCs w:val="0"/>
          <w:i w:val="0"/>
          <w:strike w:val="0"/>
          <w:color w:val="000000"/>
          <w:sz w:val="28"/>
          <w:u w:val="none"/>
        </w:rPr>
        <w:t>3、任务要求</w:t>
      </w:r>
    </w:p>
    <w:p>
      <w:pPr>
        <w:snapToGrid/>
        <w:spacing w:before="0" w:after="0" w:line="360" w:lineRule="auto"/>
        <w:ind w:left="0" w:right="0" w:firstLine="560" w:firstLineChars="200"/>
        <w:rPr>
          <w:rFonts w:ascii="仿宋" w:hAnsi="仿宋" w:eastAsia="仿宋" w:cs="仿宋"/>
          <w:sz w:val="28"/>
        </w:rPr>
      </w:pPr>
      <w:r>
        <w:rPr>
          <w:rFonts w:ascii="仿宋" w:hAnsi="仿宋" w:eastAsia="仿宋" w:cs="仿宋"/>
          <w:i w:val="0"/>
          <w:strike w:val="0"/>
          <w:color w:val="000000"/>
          <w:sz w:val="28"/>
          <w:u w:val="none"/>
        </w:rPr>
        <w:t>基于以上的描述，该整体解决方案包括以下要求：</w:t>
      </w:r>
    </w:p>
    <w:p>
      <w:pPr>
        <w:snapToGrid/>
        <w:spacing w:before="0" w:after="0" w:line="360" w:lineRule="auto"/>
        <w:ind w:left="840" w:right="0" w:hanging="420"/>
        <w:rPr>
          <w:rFonts w:ascii="仿宋" w:hAnsi="仿宋" w:eastAsia="仿宋" w:cs="仿宋"/>
          <w:b/>
          <w:sz w:val="28"/>
        </w:rPr>
      </w:pPr>
      <w:r>
        <w:rPr>
          <w:rFonts w:ascii="仿宋" w:hAnsi="仿宋" w:eastAsia="仿宋" w:cs="仿宋"/>
          <w:b/>
          <w:i w:val="0"/>
          <w:strike w:val="0"/>
          <w:color w:val="000000"/>
          <w:sz w:val="28"/>
          <w:u w:val="none"/>
        </w:rPr>
        <w:t>（1） 产品规划方案：</w:t>
      </w:r>
    </w:p>
    <w:p>
      <w:pPr>
        <w:numPr>
          <w:ilvl w:val="0"/>
          <w:numId w:val="1"/>
        </w:numPr>
        <w:rPr>
          <w:rFonts w:ascii="仿宋" w:hAnsi="仿宋" w:eastAsia="仿宋" w:cs="仿宋"/>
          <w:sz w:val="28"/>
        </w:rPr>
      </w:pPr>
      <w:r>
        <w:rPr>
          <w:rFonts w:ascii="仿宋" w:hAnsi="仿宋" w:eastAsia="仿宋" w:cs="仿宋"/>
          <w:sz w:val="28"/>
        </w:rPr>
        <w:t>用户及市场分析</w:t>
      </w:r>
    </w:p>
    <w:p>
      <w:pPr>
        <w:numPr>
          <w:ilvl w:val="0"/>
          <w:numId w:val="1"/>
        </w:numPr>
        <w:rPr>
          <w:rFonts w:ascii="仿宋" w:hAnsi="仿宋" w:eastAsia="仿宋" w:cs="仿宋"/>
          <w:sz w:val="28"/>
        </w:rPr>
      </w:pPr>
      <w:r>
        <w:rPr>
          <w:rFonts w:ascii="仿宋" w:hAnsi="仿宋" w:eastAsia="仿宋" w:cs="仿宋"/>
          <w:sz w:val="28"/>
        </w:rPr>
        <w:t>业务流程图</w:t>
      </w:r>
    </w:p>
    <w:p>
      <w:pPr>
        <w:numPr>
          <w:ilvl w:val="0"/>
          <w:numId w:val="1"/>
        </w:numPr>
        <w:pBdr>
          <w:bottom w:val="none" w:color="auto" w:sz="0" w:space="0"/>
        </w:pBdr>
        <w:rPr>
          <w:rFonts w:ascii="仿宋" w:hAnsi="仿宋" w:eastAsia="仿宋" w:cs="仿宋"/>
          <w:sz w:val="28"/>
        </w:rPr>
      </w:pPr>
      <w:r>
        <w:rPr>
          <w:rFonts w:ascii="仿宋" w:hAnsi="仿宋" w:eastAsia="仿宋" w:cs="仿宋"/>
          <w:sz w:val="28"/>
        </w:rPr>
        <w:t>产品/服务功能架构图</w:t>
      </w:r>
    </w:p>
    <w:p>
      <w:pPr>
        <w:snapToGrid/>
        <w:spacing w:before="0" w:after="0" w:line="360" w:lineRule="auto"/>
        <w:ind w:left="840" w:right="0" w:hanging="420"/>
        <w:rPr>
          <w:rFonts w:ascii="仿宋" w:hAnsi="仿宋" w:eastAsia="仿宋" w:cs="仿宋"/>
          <w:b/>
          <w:i w:val="0"/>
          <w:strike w:val="0"/>
          <w:color w:val="000000"/>
          <w:sz w:val="28"/>
          <w:u w:val="none"/>
        </w:rPr>
      </w:pPr>
      <w:r>
        <w:rPr>
          <w:rFonts w:ascii="仿宋" w:hAnsi="仿宋" w:eastAsia="仿宋" w:cs="仿宋"/>
          <w:b/>
          <w:i w:val="0"/>
          <w:strike w:val="0"/>
          <w:color w:val="000000"/>
          <w:sz w:val="28"/>
          <w:u w:val="none"/>
        </w:rPr>
        <w:t>（2） 功能模块包括：</w:t>
      </w:r>
    </w:p>
    <w:p>
      <w:pPr>
        <w:pBdr>
          <w:bottom w:val="none" w:color="auto" w:sz="0" w:space="0"/>
        </w:pBdr>
        <w:snapToGrid/>
        <w:spacing w:before="0" w:after="0" w:line="360" w:lineRule="auto"/>
        <w:ind w:left="420" w:right="0" w:firstLine="480"/>
        <w:rPr>
          <w:rFonts w:ascii="仿宋" w:hAnsi="仿宋" w:eastAsia="仿宋" w:cs="仿宋"/>
          <w:b/>
          <w:sz w:val="28"/>
        </w:rPr>
      </w:pPr>
      <w:r>
        <w:rPr>
          <w:rFonts w:ascii="仿宋" w:hAnsi="仿宋" w:eastAsia="仿宋" w:cs="仿宋"/>
          <w:b/>
          <w:sz w:val="28"/>
        </w:rPr>
        <w:drawing>
          <wp:inline distT="0" distB="0" distL="0" distR="0">
            <wp:extent cx="4648200" cy="3019425"/>
            <wp:effectExtent l="0" t="0" r="0" b="0"/>
            <wp:docPr id="1" name="picture" descr="descript"/>
            <wp:cNvGraphicFramePr/>
            <a:graphic xmlns:a="http://schemas.openxmlformats.org/drawingml/2006/main">
              <a:graphicData uri="http://schemas.openxmlformats.org/drawingml/2006/picture">
                <pic:pic xmlns:pic="http://schemas.openxmlformats.org/drawingml/2006/picture">
                  <pic:nvPicPr>
                    <pic:cNvPr id="1" name="picture" descr="descript"/>
                    <pic:cNvPicPr/>
                  </pic:nvPicPr>
                  <pic:blipFill>
                    <a:blip r:embed="rId6"/>
                    <a:stretch>
                      <a:fillRect/>
                    </a:stretch>
                  </pic:blipFill>
                  <pic:spPr>
                    <a:xfrm>
                      <a:off x="0" y="0"/>
                      <a:ext cx="4648200" cy="3019425"/>
                    </a:xfrm>
                    <a:prstGeom prst="rect">
                      <a:avLst/>
                    </a:prstGeom>
                  </pic:spPr>
                </pic:pic>
              </a:graphicData>
            </a:graphic>
          </wp:inline>
        </w:drawing>
      </w:r>
    </w:p>
    <w:p>
      <w:pPr>
        <w:numPr>
          <w:ilvl w:val="0"/>
          <w:numId w:val="1"/>
        </w:numPr>
        <w:rPr>
          <w:rFonts w:ascii="仿宋" w:hAnsi="仿宋" w:eastAsia="仿宋" w:cs="仿宋"/>
          <w:sz w:val="28"/>
        </w:rPr>
      </w:pPr>
      <w:r>
        <w:rPr>
          <w:rFonts w:ascii="仿宋" w:hAnsi="仿宋" w:eastAsia="仿宋" w:cs="仿宋"/>
          <w:sz w:val="28"/>
        </w:rPr>
        <w:t>用户侧分为学习管理、课程发现、学习社区、学习助理等模块   用户可以通过学习管理进行在线上课、提供课后反馈，在课程发现探索个性化课程表，在学习社区与学员和老师交流，还可以与数字人学习助理进行实时问答互动。</w:t>
      </w:r>
    </w:p>
    <w:p>
      <w:pPr>
        <w:numPr>
          <w:ilvl w:val="0"/>
          <w:numId w:val="1"/>
        </w:numPr>
        <w:pBdr>
          <w:bottom w:val="none" w:color="auto" w:sz="0" w:space="0"/>
        </w:pBdr>
        <w:rPr>
          <w:rFonts w:ascii="仿宋" w:hAnsi="仿宋" w:eastAsia="仿宋" w:cs="仿宋"/>
          <w:sz w:val="28"/>
        </w:rPr>
      </w:pPr>
      <w:r>
        <w:rPr>
          <w:rFonts w:ascii="仿宋" w:hAnsi="仿宋" w:eastAsia="仿宋" w:cs="仿宋"/>
          <w:sz w:val="28"/>
        </w:rPr>
        <w:t>财税培训老师的课程管理模块，可以进行课程的生产和管理，还可进行课程观看人数、评价等反馈数据的可视化分析等。</w:t>
      </w:r>
    </w:p>
    <w:p>
      <w:pPr>
        <w:snapToGrid/>
        <w:spacing w:before="0" w:after="0" w:line="360" w:lineRule="auto"/>
        <w:ind w:left="840" w:right="0" w:hanging="420"/>
        <w:rPr>
          <w:rFonts w:ascii="仿宋" w:hAnsi="仿宋" w:eastAsia="仿宋" w:cs="仿宋"/>
          <w:b/>
          <w:sz w:val="28"/>
        </w:rPr>
      </w:pPr>
      <w:r>
        <w:rPr>
          <w:rFonts w:ascii="仿宋" w:hAnsi="仿宋" w:eastAsia="仿宋" w:cs="仿宋"/>
          <w:b/>
          <w:i w:val="0"/>
          <w:strike w:val="0"/>
          <w:color w:val="000000"/>
          <w:sz w:val="28"/>
          <w:u w:val="none"/>
        </w:rPr>
        <w:t>（3） 技术方案及产品原型：</w:t>
      </w:r>
    </w:p>
    <w:p>
      <w:pPr>
        <w:numPr>
          <w:ilvl w:val="0"/>
          <w:numId w:val="1"/>
        </w:numPr>
        <w:rPr>
          <w:rFonts w:ascii="仿宋" w:hAnsi="仿宋" w:eastAsia="仿宋" w:cs="仿宋"/>
          <w:sz w:val="28"/>
        </w:rPr>
      </w:pPr>
      <w:r>
        <w:rPr>
          <w:rFonts w:ascii="仿宋" w:hAnsi="仿宋" w:eastAsia="仿宋" w:cs="仿宋"/>
          <w:sz w:val="28"/>
        </w:rPr>
        <w:t>基于web端系统，开发语言优先Java，Python</w:t>
      </w:r>
    </w:p>
    <w:p>
      <w:pPr>
        <w:numPr>
          <w:ilvl w:val="0"/>
          <w:numId w:val="1"/>
        </w:numPr>
        <w:rPr>
          <w:rFonts w:ascii="仿宋" w:hAnsi="仿宋" w:eastAsia="仿宋" w:cs="仿宋"/>
          <w:sz w:val="28"/>
        </w:rPr>
      </w:pPr>
      <w:r>
        <w:rPr>
          <w:rFonts w:ascii="仿宋" w:hAnsi="仿宋" w:eastAsia="仿宋" w:cs="仿宋"/>
          <w:sz w:val="28"/>
        </w:rPr>
        <w:t>提供整体技术架构解决方案，方案突出数字化和智能化的解决方案</w:t>
      </w:r>
    </w:p>
    <w:p>
      <w:pPr>
        <w:numPr>
          <w:ilvl w:val="0"/>
          <w:numId w:val="1"/>
        </w:numPr>
        <w:rPr>
          <w:rFonts w:ascii="仿宋" w:hAnsi="仿宋" w:eastAsia="仿宋" w:cs="仿宋"/>
          <w:sz w:val="28"/>
        </w:rPr>
      </w:pPr>
      <w:r>
        <w:rPr>
          <w:rFonts w:ascii="仿宋" w:hAnsi="仿宋" w:eastAsia="仿宋" w:cs="仿宋"/>
          <w:sz w:val="28"/>
        </w:rPr>
        <w:t>请实现该产品的原型系统</w:t>
      </w:r>
    </w:p>
    <w:p>
      <w:pPr>
        <w:snapToGrid/>
        <w:spacing w:before="0" w:after="0" w:line="360" w:lineRule="auto"/>
        <w:ind w:left="840" w:right="0" w:hanging="420"/>
        <w:rPr>
          <w:rFonts w:ascii="仿宋" w:hAnsi="仿宋" w:eastAsia="仿宋" w:cs="仿宋"/>
          <w:b/>
          <w:sz w:val="28"/>
        </w:rPr>
      </w:pPr>
      <w:r>
        <w:rPr>
          <w:rFonts w:ascii="仿宋" w:hAnsi="仿宋" w:eastAsia="仿宋" w:cs="仿宋"/>
          <w:b/>
          <w:i w:val="0"/>
          <w:strike w:val="0"/>
          <w:color w:val="000000"/>
          <w:sz w:val="28"/>
          <w:u w:val="none"/>
        </w:rPr>
        <w:t>（4） 实施方案：</w:t>
      </w:r>
    </w:p>
    <w:p>
      <w:pPr>
        <w:numPr>
          <w:ilvl w:val="0"/>
          <w:numId w:val="1"/>
        </w:numPr>
        <w:rPr>
          <w:rFonts w:ascii="仿宋" w:hAnsi="仿宋" w:eastAsia="仿宋" w:cs="仿宋"/>
          <w:sz w:val="28"/>
        </w:rPr>
      </w:pPr>
      <w:r>
        <w:rPr>
          <w:rFonts w:ascii="仿宋" w:hAnsi="仿宋" w:eastAsia="仿宋" w:cs="仿宋"/>
          <w:sz w:val="28"/>
        </w:rPr>
        <w:t>实施计划</w:t>
      </w:r>
    </w:p>
    <w:p>
      <w:pPr>
        <w:numPr>
          <w:ilvl w:val="0"/>
          <w:numId w:val="1"/>
        </w:numPr>
        <w:pBdr>
          <w:bottom w:val="none" w:color="auto" w:sz="0" w:space="0"/>
        </w:pBdr>
        <w:rPr>
          <w:rFonts w:ascii="仿宋" w:hAnsi="仿宋" w:eastAsia="仿宋" w:cs="仿宋"/>
          <w:sz w:val="28"/>
        </w:rPr>
      </w:pPr>
      <w:r>
        <w:rPr>
          <w:rFonts w:ascii="仿宋" w:hAnsi="仿宋" w:eastAsia="仿宋" w:cs="仿宋"/>
          <w:sz w:val="28"/>
        </w:rPr>
        <w:t>项目管理清单</w:t>
      </w:r>
    </w:p>
    <w:p>
      <w:pPr>
        <w:snapToGrid/>
        <w:spacing w:before="0" w:after="0" w:line="360" w:lineRule="auto"/>
        <w:ind w:left="840" w:right="0" w:hanging="420"/>
        <w:rPr>
          <w:rFonts w:ascii="仿宋" w:hAnsi="仿宋" w:eastAsia="仿宋" w:cs="仿宋"/>
          <w:b/>
          <w:sz w:val="28"/>
        </w:rPr>
      </w:pPr>
      <w:r>
        <w:rPr>
          <w:rFonts w:ascii="仿宋" w:hAnsi="仿宋" w:eastAsia="仿宋" w:cs="仿宋"/>
          <w:b/>
          <w:i w:val="0"/>
          <w:strike w:val="0"/>
          <w:color w:val="000000"/>
          <w:sz w:val="28"/>
          <w:u w:val="none"/>
        </w:rPr>
        <w:t>（5） 提交资料：</w:t>
      </w:r>
    </w:p>
    <w:p>
      <w:pPr>
        <w:snapToGrid/>
        <w:spacing w:before="0" w:after="0" w:line="360" w:lineRule="auto"/>
        <w:ind w:left="0" w:right="0" w:firstLine="560" w:firstLineChars="200"/>
        <w:rPr>
          <w:rFonts w:ascii="仿宋" w:hAnsi="仿宋" w:eastAsia="仿宋" w:cs="仿宋"/>
          <w:sz w:val="28"/>
        </w:rPr>
      </w:pPr>
      <w:r>
        <w:rPr>
          <w:rFonts w:ascii="仿宋" w:hAnsi="仿宋" w:eastAsia="仿宋" w:cs="仿宋"/>
          <w:sz w:val="28"/>
        </w:rPr>
        <w:t>产品规划文档、 技术架构文档、源代码、产品原型系统说明文档、实施计划及项目管理清单。</w:t>
      </w:r>
    </w:p>
    <w:p>
      <w:pPr>
        <w:pBdr>
          <w:bottom w:val="none" w:color="auto" w:sz="0" w:space="0"/>
        </w:pBdr>
        <w:snapToGrid/>
        <w:spacing w:before="0" w:after="0" w:line="240" w:lineRule="auto"/>
        <w:ind w:left="0" w:right="0" w:firstLineChars="200"/>
        <w:rPr>
          <w:rFonts w:ascii="仿宋" w:hAnsi="仿宋" w:eastAsia="仿宋" w:cs="仿宋"/>
          <w:sz w:val="28"/>
        </w:rPr>
      </w:pPr>
      <w:r>
        <w:rPr>
          <w:rFonts w:ascii="仿宋" w:hAnsi="仿宋" w:eastAsia="仿宋" w:cs="仿宋"/>
          <w:sz w:val="28"/>
        </w:rPr>
        <w:t>（</w:t>
      </w:r>
      <w:r>
        <w:rPr>
          <w:rFonts w:ascii="仿宋" w:hAnsi="仿宋" w:eastAsia="仿宋" w:cs="仿宋"/>
          <w:i w:val="0"/>
          <w:strike w:val="0"/>
          <w:color w:val="000000"/>
          <w:sz w:val="28"/>
          <w:u w:val="none"/>
        </w:rPr>
        <w:t>但不限以上资料，其他认为有必要的资料都可以递交</w:t>
      </w:r>
      <w:r>
        <w:rPr>
          <w:rFonts w:ascii="仿宋" w:hAnsi="仿宋" w:eastAsia="仿宋" w:cs="仿宋"/>
          <w:sz w:val="28"/>
        </w:rPr>
        <w:t>）</w:t>
      </w:r>
    </w:p>
    <w:p>
      <w:pPr>
        <w:spacing w:line="240" w:lineRule="auto"/>
        <w:rPr>
          <w:rFonts w:ascii="仿宋" w:hAnsi="仿宋" w:eastAsia="仿宋" w:cs="仿宋"/>
          <w:sz w:val="24"/>
          <w:szCs w:val="24"/>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黑体" w:hAnsi="黑体" w:eastAsia="黑体" w:cs="黑体"/>
          <w:b w:val="0"/>
          <w:bCs w:val="0"/>
          <w:i w:val="0"/>
          <w:strike w:val="0"/>
          <w:color w:val="000000"/>
          <w:sz w:val="28"/>
          <w:u w:val="none"/>
        </w:rPr>
      </w:pPr>
      <w:r>
        <w:rPr>
          <w:rFonts w:hint="eastAsia" w:ascii="黑体" w:hAnsi="黑体" w:eastAsia="黑体" w:cs="黑体"/>
          <w:b w:val="0"/>
          <w:bCs w:val="0"/>
          <w:i w:val="0"/>
          <w:strike w:val="0"/>
          <w:color w:val="000000"/>
          <w:sz w:val="28"/>
          <w:u w:val="none"/>
        </w:rPr>
        <w:t>4、奖励说明</w:t>
      </w:r>
    </w:p>
    <w:p>
      <w:pPr>
        <w:snapToGrid/>
        <w:spacing w:before="0" w:after="0" w:line="300" w:lineRule="auto"/>
        <w:ind w:left="0" w:right="0" w:firstLineChars="200"/>
        <w:rPr>
          <w:rFonts w:ascii="仿宋" w:hAnsi="仿宋" w:eastAsia="仿宋" w:cs="仿宋"/>
          <w:i w:val="0"/>
          <w:strike w:val="0"/>
          <w:color w:val="000000"/>
          <w:sz w:val="28"/>
          <w:u w:val="none"/>
        </w:rPr>
      </w:pPr>
      <w:r>
        <w:rPr>
          <w:rFonts w:ascii="仿宋" w:hAnsi="仿宋" w:eastAsia="仿宋" w:cs="仿宋"/>
          <w:i w:val="0"/>
          <w:strike w:val="0"/>
          <w:color w:val="000000"/>
          <w:sz w:val="28"/>
          <w:u w:val="none"/>
        </w:rPr>
        <w:t>获奖团队除了能够获得大赛设定的奖金外，还可以获得“税友关键人才招聘项目”的免笔试卡，一经录用有机会参与到公司级的战略会议和核心项目中，拥有个人制定化的培养路径，快速提升个人专业和业务能力，成为公司技术、业务专家或者优秀管理干部的后继人才。</w:t>
      </w:r>
    </w:p>
    <w:p>
      <w:pPr>
        <w:snapToGrid/>
        <w:spacing w:before="0" w:after="0" w:line="360" w:lineRule="auto"/>
        <w:ind w:left="0" w:right="0" w:firstLine="560" w:firstLineChars="200"/>
        <w:rPr>
          <w:rFonts w:ascii="仿宋" w:hAnsi="仿宋" w:eastAsia="仿宋" w:cs="仿宋"/>
          <w:sz w:val="28"/>
        </w:rPr>
      </w:pPr>
    </w:p>
    <w:sectPr>
      <w:pgSz w:w="11905" w:h="16838"/>
      <w:pgMar w:top="1440" w:right="1080" w:bottom="1440" w:left="10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1216" w:hanging="336"/>
      </w:pPr>
      <w:rPr>
        <w:rFonts w:hint="default" w:ascii="Wingdings" w:hAnsi="Wingdings" w:eastAsia="Wingdings" w:cs="Wingdings"/>
      </w:rPr>
    </w:lvl>
    <w:lvl w:ilvl="1" w:tentative="0">
      <w:start w:val="1"/>
      <w:numFmt w:val="bullet"/>
      <w:lvlText w:val="¡"/>
      <w:lvlJc w:val="left"/>
      <w:pPr>
        <w:ind w:left="1656" w:hanging="336"/>
      </w:pPr>
      <w:rPr>
        <w:rFonts w:hint="default" w:ascii="Wingdings" w:hAnsi="Wingdings" w:eastAsia="Wingdings" w:cs="Wingdings"/>
      </w:rPr>
    </w:lvl>
    <w:lvl w:ilvl="2" w:tentative="0">
      <w:start w:val="1"/>
      <w:numFmt w:val="bullet"/>
      <w:lvlText w:val=""/>
      <w:lvlJc w:val="left"/>
      <w:pPr>
        <w:ind w:left="2096" w:hanging="336"/>
      </w:pPr>
      <w:rPr>
        <w:rFonts w:hint="default" w:ascii="Wingdings" w:hAnsi="Wingdings" w:eastAsia="Wingdings" w:cs="Wingdings"/>
      </w:rPr>
    </w:lvl>
    <w:lvl w:ilvl="3" w:tentative="0">
      <w:start w:val="1"/>
      <w:numFmt w:val="bullet"/>
      <w:lvlText w:val=""/>
      <w:lvlJc w:val="left"/>
      <w:pPr>
        <w:ind w:left="2536" w:hanging="336"/>
      </w:pPr>
      <w:rPr>
        <w:rFonts w:hint="default" w:ascii="Wingdings" w:hAnsi="Wingdings" w:eastAsia="Wingdings" w:cs="Wingdings"/>
      </w:rPr>
    </w:lvl>
    <w:lvl w:ilvl="4" w:tentative="0">
      <w:start w:val="1"/>
      <w:numFmt w:val="bullet"/>
      <w:lvlText w:val="¡"/>
      <w:lvlJc w:val="left"/>
      <w:pPr>
        <w:ind w:left="2976" w:hanging="336"/>
      </w:pPr>
      <w:rPr>
        <w:rFonts w:hint="default" w:ascii="Wingdings" w:hAnsi="Wingdings" w:eastAsia="Wingdings" w:cs="Wingdings"/>
      </w:rPr>
    </w:lvl>
    <w:lvl w:ilvl="5" w:tentative="0">
      <w:start w:val="1"/>
      <w:numFmt w:val="bullet"/>
      <w:lvlText w:val=""/>
      <w:lvlJc w:val="left"/>
      <w:pPr>
        <w:ind w:left="3416" w:hanging="336"/>
      </w:pPr>
      <w:rPr>
        <w:rFonts w:hint="default" w:ascii="Wingdings" w:hAnsi="Wingdings" w:eastAsia="Wingdings" w:cs="Wingdings"/>
      </w:rPr>
    </w:lvl>
    <w:lvl w:ilvl="6" w:tentative="0">
      <w:start w:val="1"/>
      <w:numFmt w:val="bullet"/>
      <w:lvlText w:val=""/>
      <w:lvlJc w:val="left"/>
      <w:pPr>
        <w:ind w:left="3856" w:hanging="336"/>
      </w:pPr>
      <w:rPr>
        <w:rFonts w:hint="default" w:ascii="Wingdings" w:hAnsi="Wingdings" w:eastAsia="Wingdings" w:cs="Wingdings"/>
      </w:rPr>
    </w:lvl>
    <w:lvl w:ilvl="7" w:tentative="0">
      <w:start w:val="1"/>
      <w:numFmt w:val="bullet"/>
      <w:lvlText w:val="¡"/>
      <w:lvlJc w:val="left"/>
      <w:pPr>
        <w:ind w:left="4296" w:hanging="336"/>
      </w:pPr>
      <w:rPr>
        <w:rFonts w:hint="default" w:ascii="Wingdings" w:hAnsi="Wingdings" w:eastAsia="Wingdings" w:cs="Wingdings"/>
      </w:rPr>
    </w:lvl>
    <w:lvl w:ilvl="8" w:tentative="0">
      <w:start w:val="1"/>
      <w:numFmt w:val="bullet"/>
      <w:lvlText w:val=""/>
      <w:lvlJc w:val="left"/>
      <w:pPr>
        <w:ind w:left="4736" w:hanging="336"/>
      </w:pPr>
      <w:rPr>
        <w:rFonts w:hint="default" w:ascii="Wingdings" w:hAnsi="Wingdings" w:eastAsia="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wYTk1MzhkOTYxN2EzMTAzZTViN2U1NGNmYjc5NTcifQ=="/>
  </w:docVars>
  <w:rsids>
    <w:rsidRoot w:val="00000000"/>
    <w:rsid w:val="01EE268C"/>
    <w:rsid w:val="0FB77B24"/>
    <w:rsid w:val="11BF5BDC"/>
    <w:rsid w:val="157B044F"/>
    <w:rsid w:val="242328C0"/>
    <w:rsid w:val="2892648B"/>
    <w:rsid w:val="3E8E18CB"/>
    <w:rsid w:val="445E6363"/>
    <w:rsid w:val="680D0731"/>
    <w:rsid w:val="7A6D60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jc w:val="left"/>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1"/>
    <w:qFormat/>
    <w:uiPriority w:val="9"/>
    <w:pPr>
      <w:keepNext/>
      <w:keepLines/>
      <w:spacing w:before="0" w:after="0" w:line="408" w:lineRule="auto"/>
      <w:outlineLvl w:val="0"/>
    </w:pPr>
    <w:rPr>
      <w:b/>
      <w:bCs/>
      <w:color w:val="1A1A1A"/>
      <w:sz w:val="36"/>
      <w:szCs w:val="36"/>
    </w:rPr>
  </w:style>
  <w:style w:type="paragraph" w:styleId="3">
    <w:name w:val="heading 3"/>
    <w:basedOn w:val="1"/>
    <w:next w:val="1"/>
    <w:qFormat/>
    <w:uiPriority w:val="9"/>
    <w:pPr>
      <w:keepNext/>
      <w:keepLines/>
      <w:spacing w:before="0" w:after="0" w:line="408" w:lineRule="auto"/>
      <w:outlineLvl w:val="2"/>
    </w:pPr>
    <w:rPr>
      <w:b/>
      <w:bCs/>
      <w:color w:val="1A1A1A"/>
      <w:sz w:val="28"/>
      <w:szCs w:val="28"/>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Title"/>
    <w:basedOn w:val="1"/>
    <w:next w:val="1"/>
    <w:qFormat/>
    <w:uiPriority w:val="9"/>
    <w:pPr>
      <w:keepNext/>
      <w:keepLines/>
      <w:spacing w:before="0" w:after="0" w:line="408" w:lineRule="auto"/>
      <w:jc w:val="center"/>
      <w:outlineLvl w:val="0"/>
    </w:pPr>
    <w:rPr>
      <w:b/>
      <w:bCs/>
      <w:color w:val="1A1A1A"/>
      <w:sz w:val="48"/>
      <w:szCs w:val="48"/>
    </w:rPr>
  </w:style>
  <w:style w:type="table" w:styleId="6">
    <w:name w:val="Table Grid"/>
    <w:basedOn w:val="5"/>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1880</Words>
  <Characters>1918</Characters>
  <TotalTime>38</TotalTime>
  <ScaleCrop>false</ScaleCrop>
  <LinksUpToDate>false</LinksUpToDate>
  <CharactersWithSpaces>1933</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2023-06-14T09:42:00Z</dcterms:created>
  <dc:creator>Administrator</dc:creator>
  <cp:lastModifiedBy>Administrator</cp:lastModifiedBy>
  <dcterms:modified xsi:type="dcterms:W3CDTF">2023-07-06T10:06:39Z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E615FBCE5EF64AFAA34AD4BEA8CC3CEB_12</vt:lpwstr>
  </property>
</Properties>
</file>