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AA7E1" w14:textId="77777777" w:rsidR="009A1B49" w:rsidRDefault="00000000">
      <w:pPr>
        <w:spacing w:afterLines="50" w:after="156" w:line="400" w:lineRule="exact"/>
        <w:rPr>
          <w:rFonts w:ascii="Times New Roman" w:eastAsia="黑体" w:hAnsi="Times New Roman" w:cs="Times New Roman"/>
          <w:sz w:val="28"/>
          <w:szCs w:val="28"/>
        </w:rPr>
      </w:pPr>
      <w:r>
        <w:rPr>
          <w:rFonts w:ascii="Times New Roman" w:eastAsia="黑体" w:hAnsi="Times New Roman" w:cs="Times New Roman"/>
          <w:sz w:val="28"/>
          <w:szCs w:val="28"/>
        </w:rPr>
        <w:t>附件</w:t>
      </w:r>
      <w:r>
        <w:rPr>
          <w:rFonts w:ascii="Times New Roman" w:eastAsia="黑体" w:hAnsi="Times New Roman" w:cs="Times New Roman"/>
          <w:sz w:val="28"/>
          <w:szCs w:val="28"/>
        </w:rPr>
        <w:t>1</w:t>
      </w:r>
    </w:p>
    <w:p w14:paraId="04372DF8" w14:textId="77777777" w:rsidR="009A1B49" w:rsidRDefault="00000000">
      <w:pPr>
        <w:spacing w:beforeLines="150" w:before="468" w:after="0" w:line="4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高校实验室重要危险源主要风险清单（试行）</w:t>
      </w:r>
    </w:p>
    <w:p w14:paraId="53EB44A8" w14:textId="77777777" w:rsidR="009A1B49" w:rsidRDefault="00000000">
      <w:pPr>
        <w:spacing w:afterLines="100" w:after="312" w:line="560" w:lineRule="exact"/>
        <w:jc w:val="center"/>
        <w:rPr>
          <w:rFonts w:ascii="Times New Roman" w:eastAsia="楷体" w:hAnsi="Times New Roman" w:cs="Times New Roman"/>
          <w:sz w:val="30"/>
          <w:szCs w:val="30"/>
        </w:rPr>
      </w:pPr>
      <w:r>
        <w:rPr>
          <w:rFonts w:ascii="Times New Roman" w:eastAsia="楷体" w:hAnsi="Times New Roman" w:cs="Times New Roman"/>
          <w:sz w:val="30"/>
          <w:szCs w:val="30"/>
        </w:rPr>
        <w:t>（共</w:t>
      </w:r>
      <w:r>
        <w:rPr>
          <w:rFonts w:ascii="Times New Roman" w:eastAsia="楷体" w:hAnsi="Times New Roman" w:cs="Times New Roman"/>
          <w:sz w:val="30"/>
          <w:szCs w:val="30"/>
        </w:rPr>
        <w:t>8</w:t>
      </w:r>
      <w:r>
        <w:rPr>
          <w:rFonts w:ascii="Times New Roman" w:eastAsia="楷体" w:hAnsi="Times New Roman" w:cs="Times New Roman"/>
          <w:sz w:val="30"/>
          <w:szCs w:val="30"/>
        </w:rPr>
        <w:t>大类</w:t>
      </w:r>
      <w:r>
        <w:rPr>
          <w:rFonts w:ascii="Times New Roman" w:eastAsia="楷体" w:hAnsi="Times New Roman" w:cs="Times New Roman"/>
          <w:sz w:val="30"/>
          <w:szCs w:val="30"/>
        </w:rPr>
        <w:t>48</w:t>
      </w:r>
      <w:r>
        <w:rPr>
          <w:rFonts w:ascii="Times New Roman" w:eastAsia="楷体" w:hAnsi="Times New Roman" w:cs="Times New Roman"/>
          <w:sz w:val="30"/>
          <w:szCs w:val="30"/>
        </w:rPr>
        <w:t>条）</w:t>
      </w:r>
    </w:p>
    <w:tbl>
      <w:tblPr>
        <w:tblStyle w:val="ab"/>
        <w:tblW w:w="14746" w:type="dxa"/>
        <w:jc w:val="center"/>
        <w:tblCellMar>
          <w:top w:w="85" w:type="dxa"/>
          <w:bottom w:w="85" w:type="dxa"/>
        </w:tblCellMar>
        <w:tblLook w:val="04A0" w:firstRow="1" w:lastRow="0" w:firstColumn="1" w:lastColumn="0" w:noHBand="0" w:noVBand="1"/>
      </w:tblPr>
      <w:tblGrid>
        <w:gridCol w:w="1280"/>
        <w:gridCol w:w="708"/>
        <w:gridCol w:w="2551"/>
        <w:gridCol w:w="6237"/>
        <w:gridCol w:w="1985"/>
        <w:gridCol w:w="1985"/>
      </w:tblGrid>
      <w:tr w:rsidR="009A1B49" w14:paraId="0ADEFCB1" w14:textId="77777777">
        <w:trPr>
          <w:trHeight w:val="602"/>
          <w:tblHeader/>
          <w:jc w:val="center"/>
        </w:trPr>
        <w:tc>
          <w:tcPr>
            <w:tcW w:w="1280" w:type="dxa"/>
            <w:vAlign w:val="center"/>
          </w:tcPr>
          <w:p w14:paraId="03B5B867" w14:textId="77777777" w:rsidR="009A1B49" w:rsidRDefault="00000000">
            <w:pPr>
              <w:spacing w:after="0" w:line="260" w:lineRule="exact"/>
              <w:jc w:val="center"/>
              <w:rPr>
                <w:rFonts w:ascii="黑体" w:eastAsia="黑体" w:hAnsi="黑体" w:cs="黑体" w:hint="eastAsia"/>
                <w:szCs w:val="22"/>
              </w:rPr>
            </w:pPr>
            <w:r>
              <w:rPr>
                <w:rFonts w:ascii="黑体" w:eastAsia="黑体" w:hAnsi="黑体" w:cs="黑体" w:hint="eastAsia"/>
                <w:szCs w:val="22"/>
              </w:rPr>
              <w:t>类别</w:t>
            </w:r>
          </w:p>
        </w:tc>
        <w:tc>
          <w:tcPr>
            <w:tcW w:w="708" w:type="dxa"/>
            <w:vAlign w:val="center"/>
          </w:tcPr>
          <w:p w14:paraId="6D6FF2F3" w14:textId="77777777" w:rsidR="009A1B49" w:rsidRDefault="00000000">
            <w:pPr>
              <w:spacing w:after="0" w:line="260" w:lineRule="exact"/>
              <w:jc w:val="center"/>
              <w:rPr>
                <w:rFonts w:ascii="黑体" w:eastAsia="黑体" w:hAnsi="黑体" w:cs="黑体" w:hint="eastAsia"/>
                <w:szCs w:val="22"/>
              </w:rPr>
            </w:pPr>
            <w:r>
              <w:rPr>
                <w:rFonts w:ascii="黑体" w:eastAsia="黑体" w:hAnsi="黑体" w:cs="黑体" w:hint="eastAsia"/>
                <w:szCs w:val="22"/>
              </w:rPr>
              <w:t>序号</w:t>
            </w:r>
          </w:p>
        </w:tc>
        <w:tc>
          <w:tcPr>
            <w:tcW w:w="2551" w:type="dxa"/>
            <w:vAlign w:val="center"/>
          </w:tcPr>
          <w:p w14:paraId="7AC84292" w14:textId="77777777" w:rsidR="009A1B49" w:rsidRDefault="00000000">
            <w:pPr>
              <w:spacing w:after="0" w:line="260" w:lineRule="exact"/>
              <w:jc w:val="center"/>
              <w:rPr>
                <w:rFonts w:ascii="黑体" w:eastAsia="黑体" w:hAnsi="黑体" w:cs="黑体" w:hint="eastAsia"/>
                <w:szCs w:val="22"/>
              </w:rPr>
            </w:pPr>
            <w:r>
              <w:rPr>
                <w:rFonts w:ascii="黑体" w:eastAsia="黑体" w:hAnsi="黑体" w:cs="黑体" w:hint="eastAsia"/>
                <w:szCs w:val="22"/>
              </w:rPr>
              <w:t>具体风险描述</w:t>
            </w:r>
          </w:p>
        </w:tc>
        <w:tc>
          <w:tcPr>
            <w:tcW w:w="6237" w:type="dxa"/>
            <w:vAlign w:val="center"/>
          </w:tcPr>
          <w:p w14:paraId="6FAEC343" w14:textId="77777777" w:rsidR="009A1B49" w:rsidRDefault="00000000">
            <w:pPr>
              <w:spacing w:after="0" w:line="260" w:lineRule="exact"/>
              <w:jc w:val="center"/>
              <w:rPr>
                <w:rFonts w:ascii="黑体" w:eastAsia="黑体" w:hAnsi="黑体" w:cs="黑体" w:hint="eastAsia"/>
                <w:szCs w:val="22"/>
              </w:rPr>
            </w:pPr>
            <w:r>
              <w:rPr>
                <w:rFonts w:ascii="黑体" w:eastAsia="黑体" w:hAnsi="黑体" w:cs="黑体" w:hint="eastAsia"/>
                <w:szCs w:val="22"/>
              </w:rPr>
              <w:t>建议应对举措</w:t>
            </w:r>
          </w:p>
        </w:tc>
        <w:tc>
          <w:tcPr>
            <w:tcW w:w="1985" w:type="dxa"/>
            <w:vAlign w:val="center"/>
          </w:tcPr>
          <w:p w14:paraId="1E85D4A8" w14:textId="77777777" w:rsidR="009A1B49" w:rsidRDefault="00000000">
            <w:pPr>
              <w:spacing w:after="0" w:line="260" w:lineRule="exact"/>
              <w:jc w:val="center"/>
              <w:rPr>
                <w:rFonts w:ascii="黑体" w:eastAsia="黑体" w:hAnsi="黑体" w:cs="黑体" w:hint="eastAsia"/>
                <w:szCs w:val="22"/>
              </w:rPr>
            </w:pPr>
            <w:r>
              <w:rPr>
                <w:rFonts w:ascii="黑体" w:eastAsia="黑体" w:hAnsi="黑体" w:cs="黑体" w:hint="eastAsia"/>
                <w:szCs w:val="22"/>
              </w:rPr>
              <w:t>风险对照检查情况</w:t>
            </w:r>
          </w:p>
        </w:tc>
        <w:tc>
          <w:tcPr>
            <w:tcW w:w="1985" w:type="dxa"/>
            <w:vAlign w:val="center"/>
          </w:tcPr>
          <w:p w14:paraId="0F3BF97D" w14:textId="77777777" w:rsidR="009A1B49" w:rsidRDefault="00000000">
            <w:pPr>
              <w:spacing w:after="0" w:line="260" w:lineRule="exact"/>
              <w:jc w:val="center"/>
              <w:rPr>
                <w:rFonts w:ascii="黑体" w:eastAsia="黑体" w:hAnsi="黑体" w:cs="黑体" w:hint="eastAsia"/>
                <w:szCs w:val="22"/>
              </w:rPr>
            </w:pPr>
            <w:r>
              <w:rPr>
                <w:rFonts w:ascii="黑体" w:eastAsia="黑体" w:hAnsi="黑体" w:cs="黑体" w:hint="eastAsia"/>
                <w:szCs w:val="22"/>
              </w:rPr>
              <w:t>风险管控与隐患处置情况</w:t>
            </w:r>
          </w:p>
        </w:tc>
      </w:tr>
      <w:tr w:rsidR="009A1B49" w14:paraId="63A29184" w14:textId="77777777">
        <w:trPr>
          <w:trHeight w:val="3560"/>
          <w:jc w:val="center"/>
        </w:trPr>
        <w:tc>
          <w:tcPr>
            <w:tcW w:w="1280" w:type="dxa"/>
            <w:vMerge w:val="restart"/>
            <w:vAlign w:val="center"/>
          </w:tcPr>
          <w:p w14:paraId="2790C255" w14:textId="77777777" w:rsidR="009A1B49"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【第一类】危险化学品安全风险</w:t>
            </w:r>
          </w:p>
        </w:tc>
        <w:tc>
          <w:tcPr>
            <w:tcW w:w="708" w:type="dxa"/>
            <w:vAlign w:val="center"/>
          </w:tcPr>
          <w:p w14:paraId="777BFAE9" w14:textId="77777777" w:rsidR="009A1B49"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w:t>
            </w:r>
          </w:p>
        </w:tc>
        <w:tc>
          <w:tcPr>
            <w:tcW w:w="2551" w:type="dxa"/>
            <w:vAlign w:val="center"/>
          </w:tcPr>
          <w:p w14:paraId="6A55BA26" w14:textId="77777777" w:rsidR="009A1B49"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爆炸风险：</w:t>
            </w:r>
            <w:r>
              <w:rPr>
                <w:rStyle w:val="font41"/>
                <w:rFonts w:hAnsi="宋体" w:hint="default"/>
                <w:sz w:val="21"/>
                <w:szCs w:val="21"/>
                <w:lang w:bidi="ar"/>
              </w:rPr>
              <w:t>在受热、摩擦、撞击、震动等外界作用下，可能发生剧烈化学反应，瞬间产生大量气体和热量，导致爆炸。</w:t>
            </w:r>
          </w:p>
        </w:tc>
        <w:tc>
          <w:tcPr>
            <w:tcW w:w="6237" w:type="dxa"/>
            <w:vAlign w:val="center"/>
          </w:tcPr>
          <w:p w14:paraId="75D3273B" w14:textId="77777777" w:rsidR="009A1B49"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）有防爆需求的实验室，应选用防爆型的电气设备，达到整体防爆要求。</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）采取有效措施，避免或减少出现危险爆炸性环境，避免出现任何潜在的有效点燃源。</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）危险化学品专用仓库须有通风、隔热、避光、防盗、防爆、防静电、泄漏报警等措施。</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）危险化学品应当储存在专用储存室或储存专柜内，并由专人负责管理。</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5</w:t>
            </w:r>
            <w:r>
              <w:rPr>
                <w:rStyle w:val="font41"/>
                <w:rFonts w:hAnsi="宋体" w:hint="default"/>
                <w:sz w:val="21"/>
                <w:szCs w:val="21"/>
                <w:lang w:bidi="ar"/>
              </w:rPr>
              <w:t>）储藏室、储藏区、储藏柜应通风、隔热、避免阳光直射，易泄漏、易挥发的试剂存放设备与地点应保证充足的通风。</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6</w:t>
            </w:r>
            <w:r>
              <w:rPr>
                <w:rStyle w:val="font41"/>
                <w:rFonts w:hAnsi="宋体" w:hint="default"/>
                <w:sz w:val="21"/>
                <w:szCs w:val="21"/>
                <w:lang w:bidi="ar"/>
              </w:rPr>
              <w:t>）同一防火单元内，须控制易燃易爆化学品的存放总量在合理范围。</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7</w:t>
            </w:r>
            <w:r>
              <w:rPr>
                <w:rStyle w:val="font41"/>
                <w:rFonts w:hAnsi="宋体" w:hint="default"/>
                <w:sz w:val="21"/>
                <w:szCs w:val="21"/>
                <w:lang w:bidi="ar"/>
              </w:rPr>
              <w:t>）涉及危险工艺、重点监管危险化学品的反应装置应设置自动化控制系统。</w:t>
            </w:r>
          </w:p>
        </w:tc>
        <w:tc>
          <w:tcPr>
            <w:tcW w:w="1985" w:type="dxa"/>
            <w:vAlign w:val="center"/>
          </w:tcPr>
          <w:p w14:paraId="4095040F" w14:textId="77777777" w:rsidR="009A1B49"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如没有类似风险，则填无，如有，列出具体风险，如：</w:t>
            </w:r>
            <w:r>
              <w:rPr>
                <w:rStyle w:val="font51"/>
                <w:rFonts w:eastAsia="仿宋_GB2312"/>
                <w:sz w:val="21"/>
                <w:szCs w:val="21"/>
                <w:lang w:bidi="ar"/>
              </w:rPr>
              <w:br/>
              <w:t xml:space="preserve">1. </w:t>
            </w:r>
            <w:r>
              <w:rPr>
                <w:rStyle w:val="font41"/>
                <w:rFonts w:hAnsi="宋体" w:hint="default"/>
                <w:sz w:val="21"/>
                <w:szCs w:val="21"/>
                <w:lang w:bidi="ar"/>
              </w:rPr>
              <w:t>镁粉</w:t>
            </w:r>
            <w:r>
              <w:rPr>
                <w:rStyle w:val="font51"/>
                <w:rFonts w:eastAsia="仿宋_GB2312"/>
                <w:sz w:val="21"/>
                <w:szCs w:val="21"/>
                <w:lang w:bidi="ar"/>
              </w:rPr>
              <w:t>XX</w:t>
            </w:r>
            <w:r>
              <w:rPr>
                <w:rStyle w:val="font41"/>
                <w:rFonts w:hAnsi="宋体" w:hint="default"/>
                <w:sz w:val="21"/>
                <w:szCs w:val="21"/>
                <w:lang w:bidi="ar"/>
              </w:rPr>
              <w:t>公斤以上，存量大，爆炸风险高，计</w:t>
            </w:r>
            <w:r>
              <w:rPr>
                <w:rStyle w:val="font51"/>
                <w:rFonts w:eastAsia="仿宋_GB2312"/>
                <w:sz w:val="21"/>
                <w:szCs w:val="21"/>
                <w:lang w:bidi="ar"/>
              </w:rPr>
              <w:t>XXX</w:t>
            </w:r>
            <w:r>
              <w:rPr>
                <w:rStyle w:val="font41"/>
                <w:rFonts w:hAnsi="宋体" w:hint="default"/>
                <w:sz w:val="21"/>
                <w:szCs w:val="21"/>
                <w:lang w:bidi="ar"/>
              </w:rPr>
              <w:t>实验室、</w:t>
            </w:r>
            <w:r>
              <w:rPr>
                <w:rStyle w:val="font51"/>
                <w:rFonts w:eastAsia="仿宋_GB2312"/>
                <w:sz w:val="21"/>
                <w:szCs w:val="21"/>
                <w:lang w:bidi="ar"/>
              </w:rPr>
              <w:t>XXX</w:t>
            </w:r>
            <w:r>
              <w:rPr>
                <w:rStyle w:val="font41"/>
                <w:rFonts w:hAnsi="宋体" w:hint="default"/>
                <w:sz w:val="21"/>
                <w:szCs w:val="21"/>
                <w:lang w:bidi="ar"/>
              </w:rPr>
              <w:t>实验室共</w:t>
            </w:r>
            <w:r>
              <w:rPr>
                <w:rStyle w:val="font51"/>
                <w:rFonts w:eastAsia="仿宋_GB2312"/>
                <w:sz w:val="21"/>
                <w:szCs w:val="21"/>
                <w:lang w:bidi="ar"/>
              </w:rPr>
              <w:t>2</w:t>
            </w:r>
            <w:r>
              <w:rPr>
                <w:rStyle w:val="font41"/>
                <w:rFonts w:hAnsi="宋体" w:hint="default"/>
                <w:sz w:val="21"/>
                <w:szCs w:val="21"/>
                <w:lang w:bidi="ar"/>
              </w:rPr>
              <w:t>个点位。</w:t>
            </w:r>
            <w:r>
              <w:rPr>
                <w:rStyle w:val="font51"/>
                <w:rFonts w:eastAsia="仿宋_GB2312"/>
                <w:sz w:val="21"/>
                <w:szCs w:val="21"/>
                <w:lang w:bidi="ar"/>
              </w:rPr>
              <w:br/>
              <w:t xml:space="preserve">2. </w:t>
            </w:r>
            <w:r>
              <w:rPr>
                <w:rStyle w:val="font41"/>
                <w:rFonts w:hAnsi="宋体" w:hint="default"/>
                <w:sz w:val="21"/>
                <w:szCs w:val="21"/>
                <w:lang w:bidi="ar"/>
              </w:rPr>
              <w:t>拟从事硝化反应实验室未安装自动控制系统，计</w:t>
            </w:r>
            <w:r>
              <w:rPr>
                <w:rStyle w:val="font51"/>
                <w:rFonts w:eastAsia="仿宋_GB2312"/>
                <w:sz w:val="21"/>
                <w:szCs w:val="21"/>
                <w:lang w:bidi="ar"/>
              </w:rPr>
              <w:t>XXX</w:t>
            </w:r>
            <w:r>
              <w:rPr>
                <w:rStyle w:val="font41"/>
                <w:rFonts w:hAnsi="宋体" w:hint="default"/>
                <w:sz w:val="21"/>
                <w:szCs w:val="21"/>
                <w:lang w:bidi="ar"/>
              </w:rPr>
              <w:t>实验室共</w:t>
            </w:r>
            <w:r>
              <w:rPr>
                <w:rStyle w:val="font51"/>
                <w:rFonts w:eastAsia="仿宋_GB2312"/>
                <w:sz w:val="21"/>
                <w:szCs w:val="21"/>
                <w:lang w:bidi="ar"/>
              </w:rPr>
              <w:t>1</w:t>
            </w:r>
            <w:r>
              <w:rPr>
                <w:rStyle w:val="font41"/>
                <w:rFonts w:hAnsi="宋体" w:hint="default"/>
                <w:sz w:val="21"/>
                <w:szCs w:val="21"/>
                <w:lang w:bidi="ar"/>
              </w:rPr>
              <w:t>个点位。</w:t>
            </w:r>
            <w:r>
              <w:rPr>
                <w:rStyle w:val="font51"/>
                <w:rFonts w:eastAsia="仿宋_GB2312"/>
                <w:sz w:val="21"/>
                <w:szCs w:val="21"/>
                <w:lang w:bidi="ar"/>
              </w:rPr>
              <w:br/>
              <w:t>3. ….</w:t>
            </w:r>
          </w:p>
        </w:tc>
        <w:tc>
          <w:tcPr>
            <w:tcW w:w="1985" w:type="dxa"/>
            <w:vAlign w:val="center"/>
          </w:tcPr>
          <w:p w14:paraId="2FC99695" w14:textId="77777777" w:rsidR="009A1B49"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列出对应自检情况的处置方案，如：</w:t>
            </w:r>
            <w:r>
              <w:rPr>
                <w:rStyle w:val="font51"/>
                <w:rFonts w:eastAsia="仿宋_GB2312"/>
                <w:sz w:val="21"/>
                <w:szCs w:val="21"/>
                <w:lang w:bidi="ar"/>
              </w:rPr>
              <w:br/>
              <w:t xml:space="preserve">1. </w:t>
            </w:r>
            <w:r>
              <w:rPr>
                <w:rStyle w:val="font41"/>
                <w:rFonts w:hAnsi="宋体" w:hint="default"/>
                <w:sz w:val="21"/>
                <w:szCs w:val="21"/>
                <w:lang w:bidi="ar"/>
              </w:rPr>
              <w:t>确保镁粉总量不超过</w:t>
            </w:r>
            <w:r>
              <w:rPr>
                <w:rStyle w:val="font51"/>
                <w:rFonts w:eastAsia="仿宋_GB2312"/>
                <w:sz w:val="21"/>
                <w:szCs w:val="21"/>
                <w:lang w:bidi="ar"/>
              </w:rPr>
              <w:t>XX</w:t>
            </w:r>
            <w:r>
              <w:rPr>
                <w:rStyle w:val="font41"/>
                <w:rFonts w:hAnsi="宋体" w:hint="default"/>
                <w:sz w:val="21"/>
                <w:szCs w:val="21"/>
                <w:lang w:bidi="ar"/>
              </w:rPr>
              <w:t>公斤，风险可控。</w:t>
            </w:r>
            <w:r>
              <w:rPr>
                <w:rStyle w:val="font51"/>
                <w:rFonts w:eastAsia="仿宋_GB2312"/>
                <w:sz w:val="21"/>
                <w:szCs w:val="21"/>
                <w:lang w:bidi="ar"/>
              </w:rPr>
              <w:br/>
              <w:t>2. 1</w:t>
            </w:r>
            <w:r>
              <w:rPr>
                <w:rStyle w:val="font41"/>
                <w:rFonts w:hAnsi="宋体" w:hint="default"/>
                <w:sz w:val="21"/>
                <w:szCs w:val="21"/>
                <w:lang w:bidi="ar"/>
              </w:rPr>
              <w:t>个月内联系第三方设计自动控制系统，</w:t>
            </w:r>
            <w:r>
              <w:rPr>
                <w:rStyle w:val="font51"/>
                <w:rFonts w:eastAsia="仿宋_GB2312"/>
                <w:sz w:val="21"/>
                <w:szCs w:val="21"/>
                <w:lang w:bidi="ar"/>
              </w:rPr>
              <w:t>6</w:t>
            </w:r>
            <w:r>
              <w:rPr>
                <w:rStyle w:val="font41"/>
                <w:rFonts w:hAnsi="宋体" w:hint="default"/>
                <w:sz w:val="21"/>
                <w:szCs w:val="21"/>
                <w:lang w:bidi="ar"/>
              </w:rPr>
              <w:t>个月内完成建设，评估后再启动实验。</w:t>
            </w:r>
            <w:r>
              <w:rPr>
                <w:rStyle w:val="font51"/>
                <w:rFonts w:eastAsia="仿宋_GB2312"/>
                <w:sz w:val="21"/>
                <w:szCs w:val="21"/>
                <w:lang w:bidi="ar"/>
              </w:rPr>
              <w:br/>
              <w:t>3 …</w:t>
            </w:r>
          </w:p>
        </w:tc>
      </w:tr>
      <w:tr w:rsidR="009A1B49" w14:paraId="6CBC75E5" w14:textId="77777777">
        <w:trPr>
          <w:trHeight w:val="90"/>
          <w:jc w:val="center"/>
        </w:trPr>
        <w:tc>
          <w:tcPr>
            <w:tcW w:w="1280" w:type="dxa"/>
            <w:vMerge/>
            <w:vAlign w:val="center"/>
          </w:tcPr>
          <w:p w14:paraId="6EB5686A" w14:textId="77777777" w:rsidR="009A1B49" w:rsidRDefault="009A1B49">
            <w:pPr>
              <w:spacing w:after="0" w:line="260" w:lineRule="exact"/>
              <w:jc w:val="center"/>
              <w:rPr>
                <w:rFonts w:ascii="Times New Roman" w:eastAsia="仿宋" w:hAnsi="Times New Roman" w:cs="Times New Roman"/>
                <w:sz w:val="21"/>
                <w:szCs w:val="21"/>
              </w:rPr>
            </w:pPr>
          </w:p>
        </w:tc>
        <w:tc>
          <w:tcPr>
            <w:tcW w:w="708" w:type="dxa"/>
            <w:vAlign w:val="center"/>
          </w:tcPr>
          <w:p w14:paraId="4073A730" w14:textId="77777777" w:rsidR="009A1B49"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w:t>
            </w:r>
          </w:p>
        </w:tc>
        <w:tc>
          <w:tcPr>
            <w:tcW w:w="2551" w:type="dxa"/>
            <w:vAlign w:val="center"/>
          </w:tcPr>
          <w:p w14:paraId="2FE1BFDE" w14:textId="77777777" w:rsidR="009A1B49"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自燃易燃风险：</w:t>
            </w:r>
            <w:r>
              <w:rPr>
                <w:rStyle w:val="font41"/>
                <w:rFonts w:hAnsi="宋体" w:hint="default"/>
                <w:sz w:val="21"/>
                <w:szCs w:val="21"/>
                <w:lang w:bidi="ar"/>
              </w:rPr>
              <w:t>在常温下易燃烧、遇空气自燃或遇水剧烈反应产生易燃气体，引发火灾，遇明火、高热、静电火花即可能引发燃烧或爆炸。</w:t>
            </w:r>
          </w:p>
        </w:tc>
        <w:tc>
          <w:tcPr>
            <w:tcW w:w="6237" w:type="dxa"/>
            <w:vAlign w:val="center"/>
          </w:tcPr>
          <w:p w14:paraId="028A82EA" w14:textId="77777777" w:rsidR="009A1B49"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）有防爆需求的实验室，应选用防爆型的电气设备，达到整体防爆要求。</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）有机溶剂储存区应远离热源和火源。</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）同一防火单元内，须控制易燃易爆化学品的存放总量在合理范围。</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）常年大量使用易燃易爆溶剂须加装泄漏报警器，储存部位应加装常时排风或与监测报警联动排风装置。</w:t>
            </w:r>
          </w:p>
        </w:tc>
        <w:tc>
          <w:tcPr>
            <w:tcW w:w="1985" w:type="dxa"/>
            <w:vAlign w:val="center"/>
          </w:tcPr>
          <w:p w14:paraId="16CD07A1" w14:textId="77777777" w:rsidR="009A1B49" w:rsidRDefault="009A1B49">
            <w:pPr>
              <w:widowControl/>
              <w:spacing w:after="0" w:line="260" w:lineRule="exact"/>
              <w:jc w:val="center"/>
              <w:rPr>
                <w:rFonts w:ascii="Times New Roman" w:eastAsia="仿宋" w:hAnsi="Times New Roman" w:cs="Times New Roman"/>
                <w:sz w:val="21"/>
                <w:szCs w:val="21"/>
              </w:rPr>
            </w:pPr>
          </w:p>
        </w:tc>
        <w:tc>
          <w:tcPr>
            <w:tcW w:w="1985" w:type="dxa"/>
            <w:vAlign w:val="center"/>
          </w:tcPr>
          <w:p w14:paraId="52AA5CF1" w14:textId="77777777" w:rsidR="009A1B49" w:rsidRDefault="009A1B49">
            <w:pPr>
              <w:widowControl/>
              <w:spacing w:after="0" w:line="260" w:lineRule="exact"/>
              <w:rPr>
                <w:rFonts w:ascii="Times New Roman" w:eastAsia="仿宋" w:hAnsi="Times New Roman" w:cs="Times New Roman"/>
                <w:sz w:val="21"/>
                <w:szCs w:val="21"/>
              </w:rPr>
            </w:pPr>
          </w:p>
        </w:tc>
      </w:tr>
      <w:tr w:rsidR="009A1B49" w14:paraId="40DCB56A" w14:textId="77777777">
        <w:trPr>
          <w:trHeight w:val="1190"/>
          <w:jc w:val="center"/>
        </w:trPr>
        <w:tc>
          <w:tcPr>
            <w:tcW w:w="1280" w:type="dxa"/>
            <w:vMerge/>
            <w:vAlign w:val="center"/>
          </w:tcPr>
          <w:p w14:paraId="1503C50F" w14:textId="77777777" w:rsidR="009A1B49" w:rsidRDefault="009A1B49">
            <w:pPr>
              <w:spacing w:after="0" w:line="260" w:lineRule="exact"/>
              <w:jc w:val="center"/>
              <w:rPr>
                <w:rFonts w:ascii="Times New Roman" w:eastAsia="仿宋" w:hAnsi="Times New Roman" w:cs="Times New Roman"/>
                <w:sz w:val="21"/>
                <w:szCs w:val="21"/>
              </w:rPr>
            </w:pPr>
          </w:p>
        </w:tc>
        <w:tc>
          <w:tcPr>
            <w:tcW w:w="708" w:type="dxa"/>
            <w:vAlign w:val="center"/>
          </w:tcPr>
          <w:p w14:paraId="4CAB9575" w14:textId="77777777" w:rsidR="009A1B49"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w:t>
            </w:r>
          </w:p>
        </w:tc>
        <w:tc>
          <w:tcPr>
            <w:tcW w:w="2551" w:type="dxa"/>
            <w:vAlign w:val="center"/>
          </w:tcPr>
          <w:p w14:paraId="6D918E81" w14:textId="77777777" w:rsidR="009A1B49"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剧烈反应风险：</w:t>
            </w:r>
            <w:r>
              <w:rPr>
                <w:rStyle w:val="font41"/>
                <w:rFonts w:hAnsi="宋体" w:hint="default"/>
                <w:sz w:val="21"/>
                <w:szCs w:val="21"/>
                <w:lang w:bidi="ar"/>
              </w:rPr>
              <w:t>发生反应后剧烈放热，或生成易燃、易爆物质。</w:t>
            </w:r>
          </w:p>
        </w:tc>
        <w:tc>
          <w:tcPr>
            <w:tcW w:w="6237" w:type="dxa"/>
            <w:vAlign w:val="center"/>
          </w:tcPr>
          <w:p w14:paraId="0414E560" w14:textId="77777777" w:rsidR="009A1B49"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）涉及危险工艺在调整工艺路线后须重新进行安全风险分析，制定相应防护措施及现场处置方案。</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）危险工艺指导书和应急预案上墙或便于取阅，实验人员熟悉所涉及的危险性及应急处理措施。</w:t>
            </w:r>
          </w:p>
        </w:tc>
        <w:tc>
          <w:tcPr>
            <w:tcW w:w="1985" w:type="dxa"/>
            <w:vAlign w:val="center"/>
          </w:tcPr>
          <w:p w14:paraId="30B046C1" w14:textId="77777777" w:rsidR="009A1B49" w:rsidRDefault="009A1B49">
            <w:pPr>
              <w:widowControl/>
              <w:spacing w:after="0" w:line="260" w:lineRule="exact"/>
              <w:jc w:val="center"/>
              <w:rPr>
                <w:rFonts w:ascii="Times New Roman" w:eastAsia="仿宋" w:hAnsi="Times New Roman" w:cs="Times New Roman"/>
                <w:sz w:val="21"/>
                <w:szCs w:val="21"/>
              </w:rPr>
            </w:pPr>
          </w:p>
        </w:tc>
        <w:tc>
          <w:tcPr>
            <w:tcW w:w="1985" w:type="dxa"/>
            <w:vAlign w:val="center"/>
          </w:tcPr>
          <w:p w14:paraId="75971A66" w14:textId="77777777" w:rsidR="009A1B49" w:rsidRDefault="009A1B49">
            <w:pPr>
              <w:widowControl/>
              <w:spacing w:after="0" w:line="260" w:lineRule="exact"/>
              <w:rPr>
                <w:rFonts w:ascii="Times New Roman" w:eastAsia="仿宋" w:hAnsi="Times New Roman" w:cs="Times New Roman"/>
                <w:sz w:val="21"/>
                <w:szCs w:val="21"/>
              </w:rPr>
            </w:pPr>
          </w:p>
        </w:tc>
      </w:tr>
      <w:tr w:rsidR="009A1B49" w14:paraId="1922F7FA" w14:textId="77777777">
        <w:trPr>
          <w:trHeight w:val="1428"/>
          <w:jc w:val="center"/>
        </w:trPr>
        <w:tc>
          <w:tcPr>
            <w:tcW w:w="1280" w:type="dxa"/>
            <w:vMerge/>
            <w:vAlign w:val="center"/>
          </w:tcPr>
          <w:p w14:paraId="6E286ECF" w14:textId="77777777" w:rsidR="009A1B49" w:rsidRDefault="009A1B49">
            <w:pPr>
              <w:spacing w:after="0" w:line="260" w:lineRule="exact"/>
              <w:jc w:val="center"/>
              <w:rPr>
                <w:rFonts w:ascii="Times New Roman" w:eastAsia="仿宋" w:hAnsi="Times New Roman" w:cs="Times New Roman"/>
                <w:sz w:val="21"/>
                <w:szCs w:val="21"/>
              </w:rPr>
            </w:pPr>
          </w:p>
        </w:tc>
        <w:tc>
          <w:tcPr>
            <w:tcW w:w="708" w:type="dxa"/>
            <w:vAlign w:val="center"/>
          </w:tcPr>
          <w:p w14:paraId="202FEA18" w14:textId="77777777" w:rsidR="009A1B49"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w:t>
            </w:r>
          </w:p>
        </w:tc>
        <w:tc>
          <w:tcPr>
            <w:tcW w:w="2551" w:type="dxa"/>
            <w:vAlign w:val="center"/>
          </w:tcPr>
          <w:p w14:paraId="69346DF6" w14:textId="77777777" w:rsidR="009A1B49"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中毒风险：</w:t>
            </w:r>
            <w:r>
              <w:rPr>
                <w:rStyle w:val="font41"/>
                <w:rFonts w:hAnsi="宋体" w:hint="default"/>
                <w:sz w:val="21"/>
                <w:szCs w:val="21"/>
                <w:lang w:bidi="ar"/>
              </w:rPr>
              <w:t>可通过吸入、食入或皮肤接触导致急性或慢性中毒，严重时危及生命。</w:t>
            </w:r>
          </w:p>
        </w:tc>
        <w:tc>
          <w:tcPr>
            <w:tcW w:w="6237" w:type="dxa"/>
            <w:vAlign w:val="center"/>
          </w:tcPr>
          <w:p w14:paraId="1B6B6F01" w14:textId="77777777" w:rsidR="009A1B49"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）实验室排出的有害物质浓度超标时，须采取净化措施，做到达标排放。</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）任何可能产生有毒有害气体而导致个人暴露的实验，都须在通风柜内进行，操作者佩戴合适有效的个体防护装备。</w:t>
            </w:r>
            <w:r>
              <w:rPr>
                <w:rStyle w:val="font51"/>
                <w:rFonts w:eastAsia="仿宋_GB2312"/>
                <w:sz w:val="21"/>
                <w:szCs w:val="21"/>
                <w:lang w:bidi="ar"/>
              </w:rPr>
              <w:t xml:space="preserve">                                                                                             </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）实验室内不得饮食。</w:t>
            </w:r>
          </w:p>
        </w:tc>
        <w:tc>
          <w:tcPr>
            <w:tcW w:w="1985" w:type="dxa"/>
            <w:vAlign w:val="center"/>
          </w:tcPr>
          <w:p w14:paraId="038E3DC7" w14:textId="77777777" w:rsidR="009A1B49" w:rsidRDefault="009A1B49">
            <w:pPr>
              <w:widowControl/>
              <w:spacing w:after="0" w:line="260" w:lineRule="exact"/>
              <w:jc w:val="center"/>
              <w:rPr>
                <w:rFonts w:ascii="Times New Roman" w:eastAsia="仿宋" w:hAnsi="Times New Roman" w:cs="Times New Roman"/>
                <w:sz w:val="21"/>
                <w:szCs w:val="21"/>
              </w:rPr>
            </w:pPr>
          </w:p>
        </w:tc>
        <w:tc>
          <w:tcPr>
            <w:tcW w:w="1985" w:type="dxa"/>
            <w:vAlign w:val="center"/>
          </w:tcPr>
          <w:p w14:paraId="02E4A88E" w14:textId="77777777" w:rsidR="009A1B49" w:rsidRDefault="009A1B49">
            <w:pPr>
              <w:widowControl/>
              <w:spacing w:after="0" w:line="260" w:lineRule="exact"/>
              <w:rPr>
                <w:rFonts w:ascii="Times New Roman" w:eastAsia="仿宋" w:hAnsi="Times New Roman" w:cs="Times New Roman"/>
                <w:sz w:val="21"/>
                <w:szCs w:val="21"/>
              </w:rPr>
            </w:pPr>
          </w:p>
        </w:tc>
      </w:tr>
      <w:tr w:rsidR="009A1B49" w14:paraId="3D53A160" w14:textId="77777777">
        <w:trPr>
          <w:trHeight w:val="996"/>
          <w:jc w:val="center"/>
        </w:trPr>
        <w:tc>
          <w:tcPr>
            <w:tcW w:w="1280" w:type="dxa"/>
            <w:vMerge/>
            <w:vAlign w:val="center"/>
          </w:tcPr>
          <w:p w14:paraId="6D8FE1A0" w14:textId="77777777" w:rsidR="009A1B49" w:rsidRDefault="009A1B49">
            <w:pPr>
              <w:spacing w:after="0" w:line="260" w:lineRule="exact"/>
              <w:jc w:val="center"/>
              <w:rPr>
                <w:rFonts w:ascii="Times New Roman" w:eastAsia="仿宋" w:hAnsi="Times New Roman" w:cs="Times New Roman"/>
                <w:sz w:val="21"/>
                <w:szCs w:val="21"/>
              </w:rPr>
            </w:pPr>
          </w:p>
        </w:tc>
        <w:tc>
          <w:tcPr>
            <w:tcW w:w="708" w:type="dxa"/>
            <w:vAlign w:val="center"/>
          </w:tcPr>
          <w:p w14:paraId="43CFA39F" w14:textId="77777777" w:rsidR="009A1B49"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5</w:t>
            </w:r>
          </w:p>
        </w:tc>
        <w:tc>
          <w:tcPr>
            <w:tcW w:w="2551" w:type="dxa"/>
            <w:vAlign w:val="center"/>
          </w:tcPr>
          <w:p w14:paraId="0FC4E534" w14:textId="77777777" w:rsidR="009A1B49"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腐蚀风险：</w:t>
            </w:r>
            <w:r>
              <w:rPr>
                <w:rStyle w:val="font41"/>
                <w:rFonts w:hAnsi="宋体" w:hint="default"/>
                <w:sz w:val="21"/>
                <w:szCs w:val="21"/>
                <w:lang w:bidi="ar"/>
              </w:rPr>
              <w:t>接触皮肤、眼睛或呼吸道会造成严重化学灼伤，并对环境造成破坏。</w:t>
            </w:r>
          </w:p>
        </w:tc>
        <w:tc>
          <w:tcPr>
            <w:tcW w:w="6237" w:type="dxa"/>
            <w:vAlign w:val="center"/>
          </w:tcPr>
          <w:p w14:paraId="0F99B896" w14:textId="77777777" w:rsidR="009A1B49"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）存在燃烧、腐蚀等风险的实验区域，须配置应急喷淋和洗眼装置。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）按需要佩戴防护眼镜、防护手套、安全帽、防护帽、呼吸器或面罩等。</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）配备必要的二次泄漏防护、吸附或防溢流功能等的设施设备。</w:t>
            </w:r>
          </w:p>
        </w:tc>
        <w:tc>
          <w:tcPr>
            <w:tcW w:w="1985" w:type="dxa"/>
            <w:vAlign w:val="center"/>
          </w:tcPr>
          <w:p w14:paraId="174B0AEA" w14:textId="77777777" w:rsidR="009A1B49" w:rsidRDefault="009A1B49">
            <w:pPr>
              <w:widowControl/>
              <w:spacing w:after="0" w:line="260" w:lineRule="exact"/>
              <w:jc w:val="center"/>
              <w:rPr>
                <w:rFonts w:ascii="Times New Roman" w:eastAsia="仿宋" w:hAnsi="Times New Roman" w:cs="Times New Roman"/>
                <w:sz w:val="21"/>
                <w:szCs w:val="21"/>
              </w:rPr>
            </w:pPr>
          </w:p>
        </w:tc>
        <w:tc>
          <w:tcPr>
            <w:tcW w:w="1985" w:type="dxa"/>
            <w:vAlign w:val="center"/>
          </w:tcPr>
          <w:p w14:paraId="34EE843B" w14:textId="77777777" w:rsidR="009A1B49" w:rsidRDefault="009A1B49">
            <w:pPr>
              <w:widowControl/>
              <w:spacing w:after="0" w:line="260" w:lineRule="exact"/>
              <w:rPr>
                <w:rFonts w:ascii="Times New Roman" w:eastAsia="仿宋" w:hAnsi="Times New Roman" w:cs="Times New Roman"/>
                <w:sz w:val="21"/>
                <w:szCs w:val="21"/>
              </w:rPr>
            </w:pPr>
          </w:p>
        </w:tc>
      </w:tr>
      <w:tr w:rsidR="009A1B49" w14:paraId="4B9E3639" w14:textId="77777777">
        <w:trPr>
          <w:trHeight w:val="1237"/>
          <w:jc w:val="center"/>
        </w:trPr>
        <w:tc>
          <w:tcPr>
            <w:tcW w:w="1280" w:type="dxa"/>
            <w:vMerge/>
            <w:vAlign w:val="center"/>
          </w:tcPr>
          <w:p w14:paraId="4C62C6D3" w14:textId="77777777" w:rsidR="009A1B49" w:rsidRDefault="009A1B49">
            <w:pPr>
              <w:spacing w:after="0" w:line="260" w:lineRule="exact"/>
              <w:jc w:val="center"/>
              <w:rPr>
                <w:rFonts w:ascii="Times New Roman" w:eastAsia="仿宋" w:hAnsi="Times New Roman" w:cs="Times New Roman"/>
                <w:sz w:val="21"/>
                <w:szCs w:val="21"/>
              </w:rPr>
            </w:pPr>
          </w:p>
        </w:tc>
        <w:tc>
          <w:tcPr>
            <w:tcW w:w="708" w:type="dxa"/>
            <w:vAlign w:val="center"/>
          </w:tcPr>
          <w:p w14:paraId="04727C86" w14:textId="77777777" w:rsidR="009A1B49"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6</w:t>
            </w:r>
          </w:p>
        </w:tc>
        <w:tc>
          <w:tcPr>
            <w:tcW w:w="2551" w:type="dxa"/>
            <w:vAlign w:val="center"/>
          </w:tcPr>
          <w:p w14:paraId="371FDB6D" w14:textId="77777777" w:rsidR="009A1B49"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个体防护风险：</w:t>
            </w:r>
            <w:r>
              <w:rPr>
                <w:rStyle w:val="font41"/>
                <w:rFonts w:hAnsi="宋体" w:hint="default"/>
                <w:sz w:val="21"/>
                <w:szCs w:val="21"/>
                <w:lang w:bidi="ar"/>
              </w:rPr>
              <w:t>个体防护装备配备错误，与实验涉及危险源及反应过程风险不匹配，或未配备个体防护装备。</w:t>
            </w:r>
          </w:p>
        </w:tc>
        <w:tc>
          <w:tcPr>
            <w:tcW w:w="6237" w:type="dxa"/>
            <w:vAlign w:val="center"/>
          </w:tcPr>
          <w:p w14:paraId="5C31A7A8" w14:textId="77777777" w:rsidR="009A1B49"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）进入实验室人员须穿着质地合适的实验服或防护服。</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）按需要佩戴防护眼镜、防护手套等。</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）进行化学和高温实验时，</w:t>
            </w:r>
            <w:proofErr w:type="gramStart"/>
            <w:r>
              <w:rPr>
                <w:rStyle w:val="font41"/>
                <w:rFonts w:hAnsi="宋体" w:hint="default"/>
                <w:sz w:val="21"/>
                <w:szCs w:val="21"/>
                <w:lang w:bidi="ar"/>
              </w:rPr>
              <w:t>慎戴隐形眼镜</w:t>
            </w:r>
            <w:proofErr w:type="gramEnd"/>
            <w:r>
              <w:rPr>
                <w:rStyle w:val="font41"/>
                <w:rFonts w:hAnsi="宋体" w:hint="default"/>
                <w:sz w:val="21"/>
                <w:szCs w:val="21"/>
                <w:lang w:bidi="ar"/>
              </w:rPr>
              <w:t>。</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）穿着化学类实验服或戴实验手套时，不得进入非实验区。</w:t>
            </w:r>
          </w:p>
        </w:tc>
        <w:tc>
          <w:tcPr>
            <w:tcW w:w="1985" w:type="dxa"/>
            <w:vAlign w:val="center"/>
          </w:tcPr>
          <w:p w14:paraId="77F9C7AC" w14:textId="77777777" w:rsidR="009A1B49" w:rsidRDefault="009A1B49">
            <w:pPr>
              <w:widowControl/>
              <w:spacing w:after="0" w:line="260" w:lineRule="exact"/>
              <w:jc w:val="center"/>
              <w:rPr>
                <w:rFonts w:ascii="Times New Roman" w:eastAsia="仿宋" w:hAnsi="Times New Roman" w:cs="Times New Roman"/>
                <w:sz w:val="21"/>
                <w:szCs w:val="21"/>
              </w:rPr>
            </w:pPr>
          </w:p>
        </w:tc>
        <w:tc>
          <w:tcPr>
            <w:tcW w:w="1985" w:type="dxa"/>
            <w:vAlign w:val="center"/>
          </w:tcPr>
          <w:p w14:paraId="446E040D" w14:textId="77777777" w:rsidR="009A1B49" w:rsidRDefault="009A1B49">
            <w:pPr>
              <w:widowControl/>
              <w:spacing w:after="0" w:line="260" w:lineRule="exact"/>
              <w:rPr>
                <w:rFonts w:ascii="Times New Roman" w:eastAsia="仿宋" w:hAnsi="Times New Roman" w:cs="Times New Roman"/>
                <w:sz w:val="21"/>
                <w:szCs w:val="21"/>
              </w:rPr>
            </w:pPr>
          </w:p>
        </w:tc>
      </w:tr>
      <w:tr w:rsidR="009A1B49" w14:paraId="4564B1D5" w14:textId="77777777">
        <w:trPr>
          <w:trHeight w:val="1530"/>
          <w:jc w:val="center"/>
        </w:trPr>
        <w:tc>
          <w:tcPr>
            <w:tcW w:w="1280" w:type="dxa"/>
            <w:vMerge/>
            <w:vAlign w:val="center"/>
          </w:tcPr>
          <w:p w14:paraId="0F92F7D6" w14:textId="77777777" w:rsidR="009A1B49" w:rsidRDefault="009A1B49">
            <w:pPr>
              <w:spacing w:after="0" w:line="260" w:lineRule="exact"/>
              <w:jc w:val="center"/>
              <w:rPr>
                <w:rFonts w:ascii="Times New Roman" w:eastAsia="仿宋" w:hAnsi="Times New Roman" w:cs="Times New Roman"/>
                <w:sz w:val="21"/>
                <w:szCs w:val="21"/>
              </w:rPr>
            </w:pPr>
          </w:p>
        </w:tc>
        <w:tc>
          <w:tcPr>
            <w:tcW w:w="708" w:type="dxa"/>
            <w:vAlign w:val="center"/>
          </w:tcPr>
          <w:p w14:paraId="143A7907" w14:textId="77777777" w:rsidR="009A1B49"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7</w:t>
            </w:r>
          </w:p>
        </w:tc>
        <w:tc>
          <w:tcPr>
            <w:tcW w:w="2551" w:type="dxa"/>
            <w:vAlign w:val="center"/>
          </w:tcPr>
          <w:p w14:paraId="2241C26F" w14:textId="77777777" w:rsidR="009A1B49"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实验条件风险：</w:t>
            </w:r>
            <w:r>
              <w:rPr>
                <w:rStyle w:val="font41"/>
                <w:rFonts w:hAnsi="宋体" w:hint="default"/>
                <w:sz w:val="21"/>
                <w:szCs w:val="21"/>
                <w:lang w:bidi="ar"/>
              </w:rPr>
              <w:t>实验条件不能满足实验要求。</w:t>
            </w:r>
          </w:p>
        </w:tc>
        <w:tc>
          <w:tcPr>
            <w:tcW w:w="6237" w:type="dxa"/>
            <w:vAlign w:val="center"/>
          </w:tcPr>
          <w:p w14:paraId="4FCCDB57" w14:textId="77777777" w:rsidR="009A1B49"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）项目负责人负责对实验项目进行危险源辨识、风险评估和控制，制定现场处置方案，指导有关人员做好安全防护。</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开展实验前应进行安全风险分析，并通过项目负责人审核，尤其是涉及危险工艺在调整工艺路线（如更改配比、压力、温度等参数）后须重新进行安全风险分析，制定相应防护措施及现场处置方案后方可进行实验。</w:t>
            </w:r>
          </w:p>
        </w:tc>
        <w:tc>
          <w:tcPr>
            <w:tcW w:w="1985" w:type="dxa"/>
            <w:vAlign w:val="center"/>
          </w:tcPr>
          <w:p w14:paraId="0107693C" w14:textId="77777777" w:rsidR="009A1B49" w:rsidRDefault="009A1B49">
            <w:pPr>
              <w:widowControl/>
              <w:spacing w:after="0" w:line="260" w:lineRule="exact"/>
              <w:jc w:val="center"/>
              <w:rPr>
                <w:rFonts w:ascii="Times New Roman" w:eastAsia="仿宋" w:hAnsi="Times New Roman" w:cs="Times New Roman"/>
                <w:sz w:val="21"/>
                <w:szCs w:val="21"/>
              </w:rPr>
            </w:pPr>
          </w:p>
        </w:tc>
        <w:tc>
          <w:tcPr>
            <w:tcW w:w="1985" w:type="dxa"/>
            <w:vAlign w:val="center"/>
          </w:tcPr>
          <w:p w14:paraId="145CC0FF" w14:textId="77777777" w:rsidR="009A1B49" w:rsidRDefault="009A1B49">
            <w:pPr>
              <w:widowControl/>
              <w:spacing w:after="0" w:line="260" w:lineRule="exact"/>
              <w:rPr>
                <w:rFonts w:ascii="Times New Roman" w:eastAsia="仿宋" w:hAnsi="Times New Roman" w:cs="Times New Roman"/>
                <w:sz w:val="21"/>
                <w:szCs w:val="21"/>
              </w:rPr>
            </w:pPr>
          </w:p>
        </w:tc>
      </w:tr>
      <w:tr w:rsidR="009A1B49" w14:paraId="28764BE8" w14:textId="77777777">
        <w:trPr>
          <w:trHeight w:val="381"/>
          <w:jc w:val="center"/>
        </w:trPr>
        <w:tc>
          <w:tcPr>
            <w:tcW w:w="1280" w:type="dxa"/>
            <w:vMerge/>
            <w:vAlign w:val="center"/>
          </w:tcPr>
          <w:p w14:paraId="43070A63" w14:textId="77777777" w:rsidR="009A1B49" w:rsidRDefault="009A1B49">
            <w:pPr>
              <w:spacing w:after="0" w:line="260" w:lineRule="exact"/>
              <w:jc w:val="center"/>
              <w:rPr>
                <w:rFonts w:ascii="Times New Roman" w:eastAsia="仿宋" w:hAnsi="Times New Roman" w:cs="Times New Roman"/>
                <w:sz w:val="21"/>
                <w:szCs w:val="21"/>
              </w:rPr>
            </w:pPr>
          </w:p>
        </w:tc>
        <w:tc>
          <w:tcPr>
            <w:tcW w:w="708" w:type="dxa"/>
            <w:vAlign w:val="center"/>
          </w:tcPr>
          <w:p w14:paraId="00265D92" w14:textId="77777777" w:rsidR="009A1B49"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8</w:t>
            </w:r>
          </w:p>
        </w:tc>
        <w:tc>
          <w:tcPr>
            <w:tcW w:w="2551" w:type="dxa"/>
            <w:vAlign w:val="center"/>
          </w:tcPr>
          <w:p w14:paraId="5AE06934" w14:textId="77777777" w:rsidR="009A1B49"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使用过程风险：</w:t>
            </w:r>
            <w:r>
              <w:rPr>
                <w:rStyle w:val="font41"/>
                <w:rFonts w:hAnsi="宋体" w:hint="default"/>
                <w:sz w:val="21"/>
                <w:szCs w:val="21"/>
                <w:lang w:bidi="ar"/>
              </w:rPr>
              <w:t>标准操作规程与危化品使用过程不匹配或未制定标准操作规程。</w:t>
            </w:r>
          </w:p>
        </w:tc>
        <w:tc>
          <w:tcPr>
            <w:tcW w:w="6237" w:type="dxa"/>
            <w:vAlign w:val="center"/>
          </w:tcPr>
          <w:p w14:paraId="6E30CE73" w14:textId="77777777" w:rsidR="009A1B49"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）危险实验时不能脱岗，须有实验室负责人或其指定的安全员在场。</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）制定危险实验、危险工艺指导书、各类标准操作规程（</w:t>
            </w:r>
            <w:r>
              <w:rPr>
                <w:rStyle w:val="font51"/>
                <w:rFonts w:eastAsia="仿宋_GB2312"/>
                <w:sz w:val="21"/>
                <w:szCs w:val="21"/>
                <w:lang w:bidi="ar"/>
              </w:rPr>
              <w:t>SOP</w:t>
            </w:r>
            <w:r>
              <w:rPr>
                <w:rStyle w:val="font41"/>
                <w:rFonts w:hAnsi="宋体" w:hint="default"/>
                <w:sz w:val="21"/>
                <w:szCs w:val="21"/>
                <w:lang w:bidi="ar"/>
              </w:rPr>
              <w:t>）、应急预案。</w:t>
            </w:r>
          </w:p>
        </w:tc>
        <w:tc>
          <w:tcPr>
            <w:tcW w:w="1985" w:type="dxa"/>
            <w:vAlign w:val="center"/>
          </w:tcPr>
          <w:p w14:paraId="616D02D8" w14:textId="77777777" w:rsidR="009A1B49" w:rsidRDefault="009A1B49">
            <w:pPr>
              <w:widowControl/>
              <w:spacing w:after="0" w:line="260" w:lineRule="exact"/>
              <w:jc w:val="center"/>
              <w:rPr>
                <w:rFonts w:ascii="Times New Roman" w:eastAsia="仿宋" w:hAnsi="Times New Roman" w:cs="Times New Roman"/>
                <w:sz w:val="21"/>
                <w:szCs w:val="21"/>
              </w:rPr>
            </w:pPr>
          </w:p>
        </w:tc>
        <w:tc>
          <w:tcPr>
            <w:tcW w:w="1985" w:type="dxa"/>
            <w:vAlign w:val="center"/>
          </w:tcPr>
          <w:p w14:paraId="2E12F60E" w14:textId="77777777" w:rsidR="009A1B49" w:rsidRDefault="009A1B49">
            <w:pPr>
              <w:widowControl/>
              <w:spacing w:after="0" w:line="260" w:lineRule="exact"/>
              <w:rPr>
                <w:rFonts w:ascii="Times New Roman" w:eastAsia="仿宋" w:hAnsi="Times New Roman" w:cs="Times New Roman"/>
                <w:sz w:val="21"/>
                <w:szCs w:val="21"/>
              </w:rPr>
            </w:pPr>
          </w:p>
        </w:tc>
      </w:tr>
      <w:tr w:rsidR="009A1B49" w14:paraId="78762A5E" w14:textId="77777777">
        <w:trPr>
          <w:trHeight w:val="1420"/>
          <w:jc w:val="center"/>
        </w:trPr>
        <w:tc>
          <w:tcPr>
            <w:tcW w:w="1280" w:type="dxa"/>
            <w:vMerge/>
            <w:vAlign w:val="center"/>
          </w:tcPr>
          <w:p w14:paraId="5D4ACE6F" w14:textId="77777777" w:rsidR="009A1B49" w:rsidRDefault="009A1B49">
            <w:pPr>
              <w:spacing w:after="0" w:line="260" w:lineRule="exact"/>
              <w:jc w:val="center"/>
              <w:rPr>
                <w:rFonts w:ascii="Times New Roman" w:eastAsia="仿宋" w:hAnsi="Times New Roman" w:cs="Times New Roman"/>
                <w:sz w:val="21"/>
                <w:szCs w:val="21"/>
              </w:rPr>
            </w:pPr>
          </w:p>
        </w:tc>
        <w:tc>
          <w:tcPr>
            <w:tcW w:w="708" w:type="dxa"/>
            <w:vAlign w:val="center"/>
          </w:tcPr>
          <w:p w14:paraId="19DE5949" w14:textId="77777777" w:rsidR="009A1B49"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9</w:t>
            </w:r>
          </w:p>
        </w:tc>
        <w:tc>
          <w:tcPr>
            <w:tcW w:w="2551" w:type="dxa"/>
            <w:vAlign w:val="center"/>
          </w:tcPr>
          <w:p w14:paraId="0213FAA6" w14:textId="77777777" w:rsidR="009A1B49"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应急处置风险：</w:t>
            </w:r>
            <w:r>
              <w:rPr>
                <w:rStyle w:val="font41"/>
                <w:rFonts w:hAnsi="宋体" w:hint="default"/>
                <w:sz w:val="21"/>
                <w:szCs w:val="21"/>
                <w:lang w:bidi="ar"/>
              </w:rPr>
              <w:t>应急处置预案及应急处置设施与实验涉及危化品不匹配，或未制定应急处置预案、未配备应急处置设施。</w:t>
            </w:r>
          </w:p>
        </w:tc>
        <w:tc>
          <w:tcPr>
            <w:tcW w:w="6237" w:type="dxa"/>
            <w:vAlign w:val="center"/>
          </w:tcPr>
          <w:p w14:paraId="53835D76" w14:textId="77777777" w:rsidR="009A1B49"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）学校、二级单位和实验室应建立针对重要危险源的现场处置方案并定期组织演练。</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）配备的急救箱不得上锁，并定期检查物品是否在保质期内。</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）存在燃烧、腐蚀等风险的实验区域，须配置应急喷淋和洗眼装置。</w:t>
            </w:r>
          </w:p>
        </w:tc>
        <w:tc>
          <w:tcPr>
            <w:tcW w:w="1985" w:type="dxa"/>
            <w:vAlign w:val="center"/>
          </w:tcPr>
          <w:p w14:paraId="71A569AF" w14:textId="77777777" w:rsidR="009A1B49" w:rsidRDefault="009A1B49">
            <w:pPr>
              <w:widowControl/>
              <w:spacing w:after="0" w:line="260" w:lineRule="exact"/>
              <w:jc w:val="center"/>
              <w:rPr>
                <w:rFonts w:ascii="Times New Roman" w:eastAsia="仿宋" w:hAnsi="Times New Roman" w:cs="Times New Roman"/>
                <w:sz w:val="21"/>
                <w:szCs w:val="21"/>
              </w:rPr>
            </w:pPr>
          </w:p>
        </w:tc>
        <w:tc>
          <w:tcPr>
            <w:tcW w:w="1985" w:type="dxa"/>
            <w:vAlign w:val="center"/>
          </w:tcPr>
          <w:p w14:paraId="71D44C0B" w14:textId="77777777" w:rsidR="009A1B49" w:rsidRDefault="009A1B49">
            <w:pPr>
              <w:widowControl/>
              <w:spacing w:after="0" w:line="260" w:lineRule="exact"/>
              <w:rPr>
                <w:rFonts w:ascii="Times New Roman" w:eastAsia="仿宋" w:hAnsi="Times New Roman" w:cs="Times New Roman"/>
                <w:sz w:val="21"/>
                <w:szCs w:val="21"/>
              </w:rPr>
            </w:pPr>
          </w:p>
        </w:tc>
      </w:tr>
      <w:tr w:rsidR="009A1B49" w14:paraId="04994DD9" w14:textId="77777777">
        <w:trPr>
          <w:trHeight w:val="1832"/>
          <w:jc w:val="center"/>
        </w:trPr>
        <w:tc>
          <w:tcPr>
            <w:tcW w:w="1280" w:type="dxa"/>
            <w:vMerge w:val="restart"/>
            <w:vAlign w:val="center"/>
          </w:tcPr>
          <w:p w14:paraId="68445966" w14:textId="77777777" w:rsidR="009A1B49"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【第二类】气体气瓶安全风险</w:t>
            </w:r>
          </w:p>
        </w:tc>
        <w:tc>
          <w:tcPr>
            <w:tcW w:w="708" w:type="dxa"/>
            <w:vAlign w:val="center"/>
          </w:tcPr>
          <w:p w14:paraId="212684A2" w14:textId="77777777" w:rsidR="009A1B49"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10</w:t>
            </w:r>
          </w:p>
        </w:tc>
        <w:tc>
          <w:tcPr>
            <w:tcW w:w="2551" w:type="dxa"/>
            <w:vAlign w:val="center"/>
          </w:tcPr>
          <w:p w14:paraId="5DBB07E0" w14:textId="77777777" w:rsidR="009A1B49"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物理爆炸风险：</w:t>
            </w:r>
            <w:r>
              <w:rPr>
                <w:rStyle w:val="font41"/>
                <w:rFonts w:hAnsi="宋体" w:hint="default"/>
                <w:sz w:val="21"/>
                <w:szCs w:val="21"/>
                <w:lang w:bidi="ar"/>
              </w:rPr>
              <w:t>气瓶存放不当（如暴晒、靠近热源）、超期使用、受到撞击、安全附件（如安全阀、压力表）失效时，可能发生物理爆炸，碎片和冲击波会造成严重伤害。</w:t>
            </w:r>
          </w:p>
        </w:tc>
        <w:tc>
          <w:tcPr>
            <w:tcW w:w="6237" w:type="dxa"/>
            <w:vAlign w:val="center"/>
          </w:tcPr>
          <w:p w14:paraId="6B2A1216" w14:textId="77777777" w:rsidR="009A1B49"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）气体（气瓶）存放点须通风、远离热源、避免暴晒，地面平整干燥。</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）气瓶应合理固定。</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）有供应商提供的气瓶定期检验合格标识，</w:t>
            </w:r>
            <w:proofErr w:type="gramStart"/>
            <w:r>
              <w:rPr>
                <w:rStyle w:val="font41"/>
                <w:rFonts w:hAnsi="宋体" w:hint="default"/>
                <w:sz w:val="21"/>
                <w:szCs w:val="21"/>
                <w:lang w:bidi="ar"/>
              </w:rPr>
              <w:t>无超过</w:t>
            </w:r>
            <w:proofErr w:type="gramEnd"/>
            <w:r>
              <w:rPr>
                <w:rStyle w:val="font41"/>
                <w:rFonts w:hAnsi="宋体" w:hint="default"/>
                <w:sz w:val="21"/>
                <w:szCs w:val="21"/>
                <w:lang w:bidi="ar"/>
              </w:rPr>
              <w:t>检验有效期及超过设计年限的气瓶。</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）气瓶附件齐全。</w:t>
            </w:r>
          </w:p>
        </w:tc>
        <w:tc>
          <w:tcPr>
            <w:tcW w:w="1985" w:type="dxa"/>
            <w:vAlign w:val="center"/>
          </w:tcPr>
          <w:p w14:paraId="4804BD8B" w14:textId="77777777" w:rsidR="009A1B49" w:rsidRDefault="009A1B49">
            <w:pPr>
              <w:widowControl/>
              <w:spacing w:after="0" w:line="260" w:lineRule="exact"/>
              <w:jc w:val="center"/>
              <w:rPr>
                <w:rFonts w:ascii="Times New Roman" w:eastAsia="仿宋" w:hAnsi="Times New Roman" w:cs="Times New Roman"/>
                <w:sz w:val="21"/>
                <w:szCs w:val="21"/>
              </w:rPr>
            </w:pPr>
          </w:p>
        </w:tc>
        <w:tc>
          <w:tcPr>
            <w:tcW w:w="1985" w:type="dxa"/>
            <w:vAlign w:val="center"/>
          </w:tcPr>
          <w:p w14:paraId="78E85888" w14:textId="77777777" w:rsidR="009A1B49" w:rsidRDefault="009A1B49">
            <w:pPr>
              <w:widowControl/>
              <w:spacing w:after="0" w:line="260" w:lineRule="exact"/>
              <w:rPr>
                <w:rFonts w:ascii="Times New Roman" w:eastAsia="仿宋" w:hAnsi="Times New Roman" w:cs="Times New Roman"/>
                <w:sz w:val="21"/>
                <w:szCs w:val="21"/>
              </w:rPr>
            </w:pPr>
          </w:p>
        </w:tc>
      </w:tr>
      <w:tr w:rsidR="009A1B49" w14:paraId="48046EC9" w14:textId="77777777">
        <w:trPr>
          <w:trHeight w:val="90"/>
          <w:jc w:val="center"/>
        </w:trPr>
        <w:tc>
          <w:tcPr>
            <w:tcW w:w="1280" w:type="dxa"/>
            <w:vMerge/>
            <w:vAlign w:val="center"/>
          </w:tcPr>
          <w:p w14:paraId="084C3BCD" w14:textId="77777777" w:rsidR="009A1B49" w:rsidRDefault="009A1B49">
            <w:pPr>
              <w:spacing w:after="0" w:line="260" w:lineRule="exact"/>
              <w:jc w:val="center"/>
              <w:rPr>
                <w:rFonts w:ascii="Times New Roman" w:eastAsia="仿宋" w:hAnsi="Times New Roman" w:cs="Times New Roman"/>
                <w:sz w:val="21"/>
                <w:szCs w:val="21"/>
              </w:rPr>
            </w:pPr>
          </w:p>
        </w:tc>
        <w:tc>
          <w:tcPr>
            <w:tcW w:w="708" w:type="dxa"/>
            <w:vAlign w:val="center"/>
          </w:tcPr>
          <w:p w14:paraId="6F9EE343" w14:textId="77777777" w:rsidR="009A1B49"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11</w:t>
            </w:r>
          </w:p>
        </w:tc>
        <w:tc>
          <w:tcPr>
            <w:tcW w:w="2551" w:type="dxa"/>
            <w:vAlign w:val="center"/>
          </w:tcPr>
          <w:p w14:paraId="3D817F98" w14:textId="77777777" w:rsidR="009A1B49"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化学爆炸风险：</w:t>
            </w:r>
            <w:r>
              <w:rPr>
                <w:rStyle w:val="font41"/>
                <w:rFonts w:hAnsi="宋体" w:hint="default"/>
                <w:sz w:val="21"/>
                <w:szCs w:val="21"/>
                <w:lang w:bidi="ar"/>
              </w:rPr>
              <w:t>易燃气体与空气混合达到爆炸极限，遇明火、静电火花即可能引发化学爆炸。助燃气体（如氧气）与油脂或可燃物接触可能引起剧烈燃烧。</w:t>
            </w:r>
          </w:p>
        </w:tc>
        <w:tc>
          <w:tcPr>
            <w:tcW w:w="6237" w:type="dxa"/>
            <w:vAlign w:val="center"/>
          </w:tcPr>
          <w:p w14:paraId="2C08C69B" w14:textId="77777777" w:rsidR="009A1B49"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）有防爆需求的实验室，应选用防爆型的电气设备，达到整体防爆要求。</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）涉及有毒、可燃气体的场所，配有通风设施和相应的气体监测和报警装置等。</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）可燃性气体与氧气等助燃气体气瓶不得混放。</w:t>
            </w:r>
            <w:r>
              <w:rPr>
                <w:rStyle w:val="font51"/>
                <w:rFonts w:eastAsia="仿宋_GB2312"/>
                <w:sz w:val="21"/>
                <w:szCs w:val="21"/>
                <w:lang w:bidi="ar"/>
              </w:rPr>
              <w:t xml:space="preserve">                                   </w:t>
            </w:r>
          </w:p>
        </w:tc>
        <w:tc>
          <w:tcPr>
            <w:tcW w:w="1985" w:type="dxa"/>
            <w:vAlign w:val="center"/>
          </w:tcPr>
          <w:p w14:paraId="67B800B9" w14:textId="77777777" w:rsidR="009A1B49" w:rsidRDefault="009A1B49">
            <w:pPr>
              <w:widowControl/>
              <w:spacing w:after="0" w:line="260" w:lineRule="exact"/>
              <w:jc w:val="center"/>
              <w:rPr>
                <w:rFonts w:ascii="Times New Roman" w:eastAsia="仿宋" w:hAnsi="Times New Roman" w:cs="Times New Roman"/>
                <w:sz w:val="21"/>
                <w:szCs w:val="21"/>
              </w:rPr>
            </w:pPr>
          </w:p>
        </w:tc>
        <w:tc>
          <w:tcPr>
            <w:tcW w:w="1985" w:type="dxa"/>
            <w:vAlign w:val="center"/>
          </w:tcPr>
          <w:p w14:paraId="19009FF0" w14:textId="77777777" w:rsidR="009A1B49" w:rsidRDefault="009A1B49">
            <w:pPr>
              <w:widowControl/>
              <w:spacing w:after="0" w:line="260" w:lineRule="exact"/>
              <w:rPr>
                <w:rFonts w:ascii="Times New Roman" w:eastAsia="仿宋" w:hAnsi="Times New Roman" w:cs="Times New Roman"/>
                <w:sz w:val="21"/>
                <w:szCs w:val="21"/>
              </w:rPr>
            </w:pPr>
          </w:p>
        </w:tc>
      </w:tr>
      <w:tr w:rsidR="009A1B49" w14:paraId="150FC433" w14:textId="77777777">
        <w:trPr>
          <w:trHeight w:val="634"/>
          <w:jc w:val="center"/>
        </w:trPr>
        <w:tc>
          <w:tcPr>
            <w:tcW w:w="1280" w:type="dxa"/>
            <w:vMerge/>
            <w:vAlign w:val="center"/>
          </w:tcPr>
          <w:p w14:paraId="6D1B027D" w14:textId="77777777" w:rsidR="009A1B49" w:rsidRDefault="009A1B49">
            <w:pPr>
              <w:spacing w:after="0" w:line="260" w:lineRule="exact"/>
              <w:jc w:val="center"/>
              <w:rPr>
                <w:rFonts w:ascii="Times New Roman" w:eastAsia="仿宋" w:hAnsi="Times New Roman" w:cs="Times New Roman"/>
                <w:sz w:val="21"/>
                <w:szCs w:val="21"/>
              </w:rPr>
            </w:pPr>
          </w:p>
        </w:tc>
        <w:tc>
          <w:tcPr>
            <w:tcW w:w="708" w:type="dxa"/>
            <w:vAlign w:val="center"/>
          </w:tcPr>
          <w:p w14:paraId="403B5DB6" w14:textId="77777777" w:rsidR="009A1B49"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12</w:t>
            </w:r>
          </w:p>
        </w:tc>
        <w:tc>
          <w:tcPr>
            <w:tcW w:w="2551" w:type="dxa"/>
            <w:vAlign w:val="center"/>
          </w:tcPr>
          <w:p w14:paraId="4086E2F6" w14:textId="77777777" w:rsidR="009A1B49"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中毒与窒息风险：</w:t>
            </w:r>
            <w:r>
              <w:rPr>
                <w:rStyle w:val="font41"/>
                <w:rFonts w:hAnsi="宋体" w:hint="default"/>
                <w:sz w:val="21"/>
                <w:szCs w:val="21"/>
                <w:lang w:bidi="ar"/>
              </w:rPr>
              <w:t>有毒气体泄漏可能导致人员急性中毒；惰性气体或窒息性气体（如氮气、氩气、液氮）在密闭空间大量泄漏</w:t>
            </w:r>
            <w:r>
              <w:rPr>
                <w:rStyle w:val="font41"/>
                <w:rFonts w:hAnsi="宋体" w:hint="default"/>
                <w:sz w:val="21"/>
                <w:szCs w:val="21"/>
                <w:lang w:bidi="ar"/>
              </w:rPr>
              <w:lastRenderedPageBreak/>
              <w:t>会置换氧气，导致人员缺氧窒息。</w:t>
            </w:r>
          </w:p>
        </w:tc>
        <w:tc>
          <w:tcPr>
            <w:tcW w:w="6237" w:type="dxa"/>
            <w:vAlign w:val="center"/>
          </w:tcPr>
          <w:p w14:paraId="11BDDB06" w14:textId="77777777" w:rsidR="009A1B49"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lastRenderedPageBreak/>
              <w:t>（</w:t>
            </w:r>
            <w:r>
              <w:rPr>
                <w:rStyle w:val="font51"/>
                <w:rFonts w:eastAsia="仿宋_GB2312"/>
                <w:sz w:val="21"/>
                <w:szCs w:val="21"/>
                <w:lang w:bidi="ar"/>
              </w:rPr>
              <w:t>1</w:t>
            </w:r>
            <w:r>
              <w:rPr>
                <w:rStyle w:val="font41"/>
                <w:rFonts w:hAnsi="宋体" w:hint="default"/>
                <w:sz w:val="21"/>
                <w:szCs w:val="21"/>
                <w:lang w:bidi="ar"/>
              </w:rPr>
              <w:t>）操作者佩戴合适有效的呼吸防护用具。</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）涉及有毒、可燃气体的场所，配有通风设施和相应的气体监测和报警装置等。</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）存有大量无毒窒息性压缩气体或液化气体的较小密闭空间，须安装氧含量监测报警装置。</w:t>
            </w:r>
            <w:r>
              <w:rPr>
                <w:rStyle w:val="font51"/>
                <w:rFonts w:eastAsia="仿宋_GB2312"/>
                <w:sz w:val="21"/>
                <w:szCs w:val="21"/>
                <w:lang w:bidi="ar"/>
              </w:rPr>
              <w:t xml:space="preserve"> </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）同一实验单元内，须控制气瓶的存放总量在合理范围。</w:t>
            </w:r>
          </w:p>
        </w:tc>
        <w:tc>
          <w:tcPr>
            <w:tcW w:w="1985" w:type="dxa"/>
            <w:vAlign w:val="center"/>
          </w:tcPr>
          <w:p w14:paraId="3B883EFC" w14:textId="77777777" w:rsidR="009A1B49" w:rsidRDefault="009A1B49">
            <w:pPr>
              <w:widowControl/>
              <w:spacing w:after="0" w:line="260" w:lineRule="exact"/>
              <w:jc w:val="center"/>
              <w:rPr>
                <w:rFonts w:ascii="Times New Roman" w:eastAsia="仿宋" w:hAnsi="Times New Roman" w:cs="Times New Roman"/>
                <w:sz w:val="21"/>
                <w:szCs w:val="21"/>
              </w:rPr>
            </w:pPr>
          </w:p>
        </w:tc>
        <w:tc>
          <w:tcPr>
            <w:tcW w:w="1985" w:type="dxa"/>
            <w:vAlign w:val="center"/>
          </w:tcPr>
          <w:p w14:paraId="74E52029" w14:textId="77777777" w:rsidR="009A1B49" w:rsidRDefault="009A1B49">
            <w:pPr>
              <w:widowControl/>
              <w:spacing w:after="0" w:line="260" w:lineRule="exact"/>
              <w:rPr>
                <w:rFonts w:ascii="Times New Roman" w:eastAsia="仿宋" w:hAnsi="Times New Roman" w:cs="Times New Roman"/>
                <w:sz w:val="21"/>
                <w:szCs w:val="21"/>
              </w:rPr>
            </w:pPr>
          </w:p>
        </w:tc>
      </w:tr>
      <w:tr w:rsidR="009A1B49" w14:paraId="75E6B488" w14:textId="77777777">
        <w:trPr>
          <w:trHeight w:val="488"/>
          <w:jc w:val="center"/>
        </w:trPr>
        <w:tc>
          <w:tcPr>
            <w:tcW w:w="1280" w:type="dxa"/>
            <w:vMerge/>
            <w:vAlign w:val="center"/>
          </w:tcPr>
          <w:p w14:paraId="18E6A362" w14:textId="77777777" w:rsidR="009A1B49" w:rsidRDefault="009A1B49">
            <w:pPr>
              <w:spacing w:after="0" w:line="260" w:lineRule="exact"/>
              <w:jc w:val="center"/>
              <w:rPr>
                <w:rFonts w:ascii="Times New Roman" w:eastAsia="仿宋" w:hAnsi="Times New Roman" w:cs="Times New Roman"/>
                <w:sz w:val="21"/>
                <w:szCs w:val="21"/>
              </w:rPr>
            </w:pPr>
          </w:p>
        </w:tc>
        <w:tc>
          <w:tcPr>
            <w:tcW w:w="708" w:type="dxa"/>
            <w:vAlign w:val="center"/>
          </w:tcPr>
          <w:p w14:paraId="6316ABAF" w14:textId="77777777" w:rsidR="009A1B49"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13</w:t>
            </w:r>
          </w:p>
        </w:tc>
        <w:tc>
          <w:tcPr>
            <w:tcW w:w="2551" w:type="dxa"/>
            <w:vAlign w:val="center"/>
          </w:tcPr>
          <w:p w14:paraId="77C5448B" w14:textId="77777777" w:rsidR="009A1B49"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气体监测装置风险：</w:t>
            </w:r>
            <w:r>
              <w:rPr>
                <w:rStyle w:val="font41"/>
                <w:rFonts w:hAnsi="宋体" w:hint="default"/>
                <w:sz w:val="21"/>
                <w:szCs w:val="21"/>
                <w:lang w:bidi="ar"/>
              </w:rPr>
              <w:t>气体监测装置与危险气体不匹配、安装位置错误、功能失效。</w:t>
            </w:r>
          </w:p>
        </w:tc>
        <w:tc>
          <w:tcPr>
            <w:tcW w:w="6237" w:type="dxa"/>
            <w:vAlign w:val="center"/>
          </w:tcPr>
          <w:p w14:paraId="65E37EE1" w14:textId="77777777" w:rsidR="009A1B49"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）涉及有毒、可燃气体的场所，配有通风设施和相应的气体监测和报警装置等。</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）在存有大量窒息性气体的较小密闭空间，须安装氧含量监测报警装置。</w:t>
            </w:r>
            <w:r>
              <w:rPr>
                <w:rStyle w:val="font51"/>
                <w:rFonts w:eastAsia="仿宋_GB2312"/>
                <w:sz w:val="21"/>
                <w:szCs w:val="21"/>
                <w:lang w:bidi="ar"/>
              </w:rPr>
              <w:t xml:space="preserve">    </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）所有安装的监测报警装置须符合规范要求。</w:t>
            </w:r>
          </w:p>
        </w:tc>
        <w:tc>
          <w:tcPr>
            <w:tcW w:w="1985" w:type="dxa"/>
            <w:vAlign w:val="center"/>
          </w:tcPr>
          <w:p w14:paraId="63877DA4" w14:textId="77777777" w:rsidR="009A1B49" w:rsidRDefault="009A1B49">
            <w:pPr>
              <w:widowControl/>
              <w:spacing w:after="0" w:line="260" w:lineRule="exact"/>
              <w:jc w:val="center"/>
              <w:rPr>
                <w:rFonts w:ascii="Times New Roman" w:eastAsia="仿宋" w:hAnsi="Times New Roman" w:cs="Times New Roman"/>
                <w:sz w:val="21"/>
                <w:szCs w:val="21"/>
              </w:rPr>
            </w:pPr>
          </w:p>
        </w:tc>
        <w:tc>
          <w:tcPr>
            <w:tcW w:w="1985" w:type="dxa"/>
            <w:vAlign w:val="center"/>
          </w:tcPr>
          <w:p w14:paraId="5FEBD8BD" w14:textId="77777777" w:rsidR="009A1B49" w:rsidRDefault="009A1B49">
            <w:pPr>
              <w:widowControl/>
              <w:spacing w:after="0" w:line="260" w:lineRule="exact"/>
              <w:rPr>
                <w:rFonts w:ascii="Times New Roman" w:eastAsia="仿宋" w:hAnsi="Times New Roman" w:cs="Times New Roman"/>
                <w:sz w:val="21"/>
                <w:szCs w:val="21"/>
              </w:rPr>
            </w:pPr>
          </w:p>
        </w:tc>
      </w:tr>
      <w:tr w:rsidR="009A1B49" w14:paraId="31B9B973" w14:textId="77777777">
        <w:trPr>
          <w:trHeight w:val="1396"/>
          <w:jc w:val="center"/>
        </w:trPr>
        <w:tc>
          <w:tcPr>
            <w:tcW w:w="1280" w:type="dxa"/>
            <w:vMerge/>
            <w:vAlign w:val="center"/>
          </w:tcPr>
          <w:p w14:paraId="2EA8B87F" w14:textId="77777777" w:rsidR="009A1B49" w:rsidRDefault="009A1B49">
            <w:pPr>
              <w:spacing w:after="0" w:line="260" w:lineRule="exact"/>
              <w:jc w:val="center"/>
              <w:rPr>
                <w:rFonts w:ascii="Times New Roman" w:eastAsia="仿宋" w:hAnsi="Times New Roman" w:cs="Times New Roman"/>
                <w:sz w:val="21"/>
                <w:szCs w:val="21"/>
              </w:rPr>
            </w:pPr>
          </w:p>
        </w:tc>
        <w:tc>
          <w:tcPr>
            <w:tcW w:w="708" w:type="dxa"/>
            <w:vAlign w:val="center"/>
          </w:tcPr>
          <w:p w14:paraId="19BAB9FA" w14:textId="77777777" w:rsidR="009A1B49"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14</w:t>
            </w:r>
          </w:p>
        </w:tc>
        <w:tc>
          <w:tcPr>
            <w:tcW w:w="2551" w:type="dxa"/>
            <w:vAlign w:val="center"/>
          </w:tcPr>
          <w:p w14:paraId="2B7D7D7E" w14:textId="77777777" w:rsidR="009A1B49"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气瓶检验与配件风险：</w:t>
            </w:r>
            <w:r>
              <w:rPr>
                <w:rStyle w:val="font41"/>
                <w:rFonts w:hAnsi="宋体" w:hint="default"/>
                <w:sz w:val="21"/>
                <w:szCs w:val="21"/>
                <w:lang w:bidi="ar"/>
              </w:rPr>
              <w:t>气瓶超过检验有效期或设计年限；气瓶压力表、减压阀等过期、失效，气瓶缺少保护罩等附件。</w:t>
            </w:r>
          </w:p>
        </w:tc>
        <w:tc>
          <w:tcPr>
            <w:tcW w:w="6237" w:type="dxa"/>
            <w:vAlign w:val="center"/>
          </w:tcPr>
          <w:p w14:paraId="0844242B" w14:textId="77777777" w:rsidR="009A1B49"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）有供应商提供的气瓶定期检验合格标识，</w:t>
            </w:r>
            <w:proofErr w:type="gramStart"/>
            <w:r>
              <w:rPr>
                <w:rStyle w:val="font41"/>
                <w:rFonts w:hAnsi="宋体" w:hint="default"/>
                <w:sz w:val="21"/>
                <w:szCs w:val="21"/>
                <w:lang w:bidi="ar"/>
              </w:rPr>
              <w:t>无超过</w:t>
            </w:r>
            <w:proofErr w:type="gramEnd"/>
            <w:r>
              <w:rPr>
                <w:rStyle w:val="font41"/>
                <w:rFonts w:hAnsi="宋体" w:hint="default"/>
                <w:sz w:val="21"/>
                <w:szCs w:val="21"/>
                <w:lang w:bidi="ar"/>
              </w:rPr>
              <w:t>检验有效期及超过设计年限的气瓶。</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）气瓶附件齐全、与气体配套。</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）安全阀或压力表等附件须委托有资质的单位定期校验或检定。</w:t>
            </w:r>
          </w:p>
        </w:tc>
        <w:tc>
          <w:tcPr>
            <w:tcW w:w="1985" w:type="dxa"/>
            <w:vAlign w:val="center"/>
          </w:tcPr>
          <w:p w14:paraId="392C2D7C" w14:textId="77777777" w:rsidR="009A1B49" w:rsidRDefault="009A1B49">
            <w:pPr>
              <w:widowControl/>
              <w:spacing w:after="0" w:line="260" w:lineRule="exact"/>
              <w:jc w:val="center"/>
              <w:rPr>
                <w:rFonts w:ascii="Times New Roman" w:eastAsia="仿宋" w:hAnsi="Times New Roman" w:cs="Times New Roman"/>
                <w:sz w:val="21"/>
                <w:szCs w:val="21"/>
              </w:rPr>
            </w:pPr>
          </w:p>
        </w:tc>
        <w:tc>
          <w:tcPr>
            <w:tcW w:w="1985" w:type="dxa"/>
            <w:vAlign w:val="center"/>
          </w:tcPr>
          <w:p w14:paraId="6ED9B9CC" w14:textId="77777777" w:rsidR="009A1B49" w:rsidRDefault="009A1B49">
            <w:pPr>
              <w:widowControl/>
              <w:spacing w:after="0" w:line="260" w:lineRule="exact"/>
              <w:rPr>
                <w:rFonts w:ascii="Times New Roman" w:eastAsia="仿宋" w:hAnsi="Times New Roman" w:cs="Times New Roman"/>
                <w:sz w:val="21"/>
                <w:szCs w:val="21"/>
              </w:rPr>
            </w:pPr>
          </w:p>
        </w:tc>
      </w:tr>
      <w:tr w:rsidR="009A1B49" w14:paraId="7284C080" w14:textId="77777777">
        <w:trPr>
          <w:trHeight w:val="20"/>
          <w:jc w:val="center"/>
        </w:trPr>
        <w:tc>
          <w:tcPr>
            <w:tcW w:w="1280" w:type="dxa"/>
            <w:vMerge/>
            <w:vAlign w:val="center"/>
          </w:tcPr>
          <w:p w14:paraId="3D0C51CF" w14:textId="77777777" w:rsidR="009A1B49" w:rsidRDefault="009A1B49">
            <w:pPr>
              <w:spacing w:after="0" w:line="260" w:lineRule="exact"/>
              <w:jc w:val="center"/>
              <w:rPr>
                <w:rFonts w:ascii="Times New Roman" w:eastAsia="仿宋" w:hAnsi="Times New Roman" w:cs="Times New Roman"/>
                <w:sz w:val="21"/>
                <w:szCs w:val="21"/>
              </w:rPr>
            </w:pPr>
          </w:p>
        </w:tc>
        <w:tc>
          <w:tcPr>
            <w:tcW w:w="708" w:type="dxa"/>
            <w:vAlign w:val="center"/>
          </w:tcPr>
          <w:p w14:paraId="1CAB54A8" w14:textId="77777777" w:rsidR="009A1B49"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15</w:t>
            </w:r>
          </w:p>
        </w:tc>
        <w:tc>
          <w:tcPr>
            <w:tcW w:w="2551" w:type="dxa"/>
            <w:vAlign w:val="center"/>
          </w:tcPr>
          <w:p w14:paraId="73DB7E6E" w14:textId="77777777" w:rsidR="009A1B49"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气瓶使用风险：</w:t>
            </w:r>
            <w:r>
              <w:rPr>
                <w:rStyle w:val="font41"/>
                <w:rFonts w:hAnsi="宋体" w:hint="default"/>
                <w:sz w:val="21"/>
                <w:szCs w:val="21"/>
                <w:lang w:bidi="ar"/>
              </w:rPr>
              <w:t>气路老化泄漏。</w:t>
            </w:r>
          </w:p>
        </w:tc>
        <w:tc>
          <w:tcPr>
            <w:tcW w:w="6237" w:type="dxa"/>
            <w:vAlign w:val="center"/>
          </w:tcPr>
          <w:p w14:paraId="468E3427" w14:textId="77777777" w:rsidR="009A1B49"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）管路材质选择合适，无破损或老化现象，连接处</w:t>
            </w:r>
            <w:proofErr w:type="gramStart"/>
            <w:r>
              <w:rPr>
                <w:rStyle w:val="font41"/>
                <w:rFonts w:hAnsi="宋体" w:hint="default"/>
                <w:sz w:val="21"/>
                <w:szCs w:val="21"/>
                <w:lang w:bidi="ar"/>
              </w:rPr>
              <w:t>须有效</w:t>
            </w:r>
            <w:proofErr w:type="gramEnd"/>
            <w:r>
              <w:rPr>
                <w:rStyle w:val="font41"/>
                <w:rFonts w:hAnsi="宋体" w:hint="default"/>
                <w:sz w:val="21"/>
                <w:szCs w:val="21"/>
                <w:lang w:bidi="ar"/>
              </w:rPr>
              <w:t>加固并定期进行气密性检查。</w:t>
            </w:r>
          </w:p>
        </w:tc>
        <w:tc>
          <w:tcPr>
            <w:tcW w:w="1985" w:type="dxa"/>
            <w:vAlign w:val="center"/>
          </w:tcPr>
          <w:p w14:paraId="58738F1D" w14:textId="77777777" w:rsidR="009A1B49" w:rsidRDefault="009A1B49">
            <w:pPr>
              <w:widowControl/>
              <w:spacing w:after="0" w:line="260" w:lineRule="exact"/>
              <w:jc w:val="center"/>
              <w:rPr>
                <w:rFonts w:ascii="Times New Roman" w:eastAsia="仿宋" w:hAnsi="Times New Roman" w:cs="Times New Roman"/>
                <w:sz w:val="21"/>
                <w:szCs w:val="21"/>
              </w:rPr>
            </w:pPr>
          </w:p>
        </w:tc>
        <w:tc>
          <w:tcPr>
            <w:tcW w:w="1985" w:type="dxa"/>
            <w:vAlign w:val="center"/>
          </w:tcPr>
          <w:p w14:paraId="6446284B" w14:textId="77777777" w:rsidR="009A1B49" w:rsidRDefault="009A1B49">
            <w:pPr>
              <w:widowControl/>
              <w:spacing w:after="0" w:line="260" w:lineRule="exact"/>
              <w:rPr>
                <w:rFonts w:ascii="Times New Roman" w:eastAsia="仿宋" w:hAnsi="Times New Roman" w:cs="Times New Roman"/>
                <w:sz w:val="21"/>
                <w:szCs w:val="21"/>
              </w:rPr>
            </w:pPr>
          </w:p>
        </w:tc>
      </w:tr>
      <w:tr w:rsidR="009A1B49" w14:paraId="023847EB" w14:textId="77777777">
        <w:trPr>
          <w:trHeight w:val="1981"/>
          <w:jc w:val="center"/>
        </w:trPr>
        <w:tc>
          <w:tcPr>
            <w:tcW w:w="1280" w:type="dxa"/>
            <w:vMerge w:val="restart"/>
            <w:vAlign w:val="center"/>
          </w:tcPr>
          <w:p w14:paraId="69D9E6FC" w14:textId="77777777" w:rsidR="009A1B49"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【第三类】生物安全风险</w:t>
            </w:r>
          </w:p>
        </w:tc>
        <w:tc>
          <w:tcPr>
            <w:tcW w:w="708" w:type="dxa"/>
            <w:vAlign w:val="center"/>
          </w:tcPr>
          <w:p w14:paraId="677F2E62" w14:textId="77777777" w:rsidR="009A1B49"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16</w:t>
            </w:r>
          </w:p>
        </w:tc>
        <w:tc>
          <w:tcPr>
            <w:tcW w:w="2551" w:type="dxa"/>
            <w:vAlign w:val="center"/>
          </w:tcPr>
          <w:p w14:paraId="15234177" w14:textId="77777777" w:rsidR="009A1B49"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高致病性病原微生物感染风险：</w:t>
            </w:r>
            <w:r>
              <w:rPr>
                <w:rStyle w:val="font41"/>
                <w:rFonts w:hAnsi="宋体" w:hint="default"/>
                <w:sz w:val="21"/>
                <w:szCs w:val="21"/>
                <w:lang w:bidi="ar"/>
              </w:rPr>
              <w:t>操作未经灭活的高致病性病原微生物时，若防护不当，可能通过气溶胶、直接接触等途径导致实验室获得性感染，甚至引发公共卫生事件。</w:t>
            </w:r>
          </w:p>
        </w:tc>
        <w:tc>
          <w:tcPr>
            <w:tcW w:w="6237" w:type="dxa"/>
            <w:vAlign w:val="center"/>
          </w:tcPr>
          <w:p w14:paraId="0493403C" w14:textId="77777777" w:rsidR="009A1B49"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）实验室生物安全级别不低于国家发布的病原微生物目录要求。</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）在合适的生物安全柜中进行相关实验操作，不得在超净工作台中进行。</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）操作高速离心机时防止离心管破损或盖子破裂造成</w:t>
            </w:r>
            <w:proofErr w:type="gramStart"/>
            <w:r>
              <w:rPr>
                <w:rStyle w:val="font41"/>
                <w:rFonts w:hAnsi="宋体" w:hint="default"/>
                <w:sz w:val="21"/>
                <w:szCs w:val="21"/>
                <w:lang w:bidi="ar"/>
              </w:rPr>
              <w:t>溢洒或</w:t>
            </w:r>
            <w:proofErr w:type="gramEnd"/>
            <w:r>
              <w:rPr>
                <w:rStyle w:val="font41"/>
                <w:rFonts w:hAnsi="宋体" w:hint="default"/>
                <w:sz w:val="21"/>
                <w:szCs w:val="21"/>
                <w:lang w:bidi="ar"/>
              </w:rPr>
              <w:t>气溶胶扩散。</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）有合适的个体防护措施，禁止戴防护手套操作相关实验以外的设施设备。</w:t>
            </w:r>
          </w:p>
        </w:tc>
        <w:tc>
          <w:tcPr>
            <w:tcW w:w="1985" w:type="dxa"/>
            <w:vAlign w:val="center"/>
          </w:tcPr>
          <w:p w14:paraId="2013F4A6" w14:textId="77777777" w:rsidR="009A1B49" w:rsidRDefault="009A1B49">
            <w:pPr>
              <w:widowControl/>
              <w:spacing w:after="0" w:line="260" w:lineRule="exact"/>
              <w:jc w:val="center"/>
              <w:rPr>
                <w:rFonts w:ascii="Times New Roman" w:eastAsia="仿宋" w:hAnsi="Times New Roman" w:cs="Times New Roman"/>
                <w:sz w:val="21"/>
                <w:szCs w:val="21"/>
              </w:rPr>
            </w:pPr>
          </w:p>
        </w:tc>
        <w:tc>
          <w:tcPr>
            <w:tcW w:w="1985" w:type="dxa"/>
            <w:vAlign w:val="center"/>
          </w:tcPr>
          <w:p w14:paraId="389D3648" w14:textId="77777777" w:rsidR="009A1B49" w:rsidRDefault="009A1B49">
            <w:pPr>
              <w:widowControl/>
              <w:spacing w:after="0" w:line="260" w:lineRule="exact"/>
              <w:rPr>
                <w:rFonts w:ascii="Times New Roman" w:eastAsia="仿宋" w:hAnsi="Times New Roman" w:cs="Times New Roman"/>
                <w:sz w:val="21"/>
                <w:szCs w:val="21"/>
              </w:rPr>
            </w:pPr>
          </w:p>
        </w:tc>
      </w:tr>
      <w:tr w:rsidR="009A1B49" w14:paraId="5823EB9B" w14:textId="77777777">
        <w:trPr>
          <w:trHeight w:val="451"/>
          <w:jc w:val="center"/>
        </w:trPr>
        <w:tc>
          <w:tcPr>
            <w:tcW w:w="1280" w:type="dxa"/>
            <w:vMerge/>
            <w:vAlign w:val="center"/>
          </w:tcPr>
          <w:p w14:paraId="442BBB18" w14:textId="77777777" w:rsidR="009A1B49" w:rsidRDefault="009A1B49">
            <w:pPr>
              <w:spacing w:after="0" w:line="260" w:lineRule="exact"/>
              <w:jc w:val="center"/>
              <w:rPr>
                <w:rFonts w:ascii="Times New Roman" w:eastAsia="仿宋" w:hAnsi="Times New Roman" w:cs="Times New Roman"/>
                <w:sz w:val="21"/>
                <w:szCs w:val="21"/>
              </w:rPr>
            </w:pPr>
          </w:p>
        </w:tc>
        <w:tc>
          <w:tcPr>
            <w:tcW w:w="708" w:type="dxa"/>
            <w:vAlign w:val="center"/>
          </w:tcPr>
          <w:p w14:paraId="5CB54E74" w14:textId="77777777" w:rsidR="009A1B49"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17</w:t>
            </w:r>
          </w:p>
        </w:tc>
        <w:tc>
          <w:tcPr>
            <w:tcW w:w="2551" w:type="dxa"/>
            <w:vAlign w:val="center"/>
          </w:tcPr>
          <w:p w14:paraId="328F949A" w14:textId="77777777" w:rsidR="009A1B49"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动物实验风险：</w:t>
            </w:r>
            <w:r>
              <w:rPr>
                <w:rStyle w:val="font41"/>
                <w:rFonts w:hAnsi="宋体" w:hint="default"/>
                <w:sz w:val="21"/>
                <w:szCs w:val="21"/>
                <w:lang w:bidi="ar"/>
              </w:rPr>
              <w:t>实验动物可能携带人畜共患病病原体（如狂犬病毒、布鲁氏菌），咬伤、抓伤或接触其排泄物、分泌物时可能造成感染。</w:t>
            </w:r>
          </w:p>
        </w:tc>
        <w:tc>
          <w:tcPr>
            <w:tcW w:w="6237" w:type="dxa"/>
            <w:vAlign w:val="center"/>
          </w:tcPr>
          <w:p w14:paraId="4944B754" w14:textId="77777777" w:rsidR="009A1B49"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）实验动物须从具有资质的单位购买，有合格证明。</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）解剖实验动物时，必须做好个体防护。</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）对直接接触实验动物的工作人员，须定期组织健康检查。</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）动物尸体及组织应做无害化处理。</w:t>
            </w:r>
          </w:p>
        </w:tc>
        <w:tc>
          <w:tcPr>
            <w:tcW w:w="1985" w:type="dxa"/>
            <w:vAlign w:val="center"/>
          </w:tcPr>
          <w:p w14:paraId="6C39F41E" w14:textId="77777777" w:rsidR="009A1B49" w:rsidRDefault="009A1B49">
            <w:pPr>
              <w:widowControl/>
              <w:spacing w:after="0" w:line="260" w:lineRule="exact"/>
              <w:jc w:val="center"/>
              <w:rPr>
                <w:rFonts w:ascii="Times New Roman" w:eastAsia="仿宋" w:hAnsi="Times New Roman" w:cs="Times New Roman"/>
                <w:sz w:val="21"/>
                <w:szCs w:val="21"/>
              </w:rPr>
            </w:pPr>
          </w:p>
        </w:tc>
        <w:tc>
          <w:tcPr>
            <w:tcW w:w="1985" w:type="dxa"/>
            <w:vAlign w:val="center"/>
          </w:tcPr>
          <w:p w14:paraId="0657249A" w14:textId="77777777" w:rsidR="009A1B49" w:rsidRDefault="009A1B49">
            <w:pPr>
              <w:widowControl/>
              <w:spacing w:after="0" w:line="260" w:lineRule="exact"/>
              <w:rPr>
                <w:rFonts w:ascii="Times New Roman" w:eastAsia="仿宋" w:hAnsi="Times New Roman" w:cs="Times New Roman"/>
                <w:sz w:val="21"/>
                <w:szCs w:val="21"/>
              </w:rPr>
            </w:pPr>
          </w:p>
        </w:tc>
      </w:tr>
      <w:tr w:rsidR="009A1B49" w14:paraId="03724007" w14:textId="77777777">
        <w:trPr>
          <w:trHeight w:val="2104"/>
          <w:jc w:val="center"/>
        </w:trPr>
        <w:tc>
          <w:tcPr>
            <w:tcW w:w="1280" w:type="dxa"/>
            <w:vMerge/>
            <w:vAlign w:val="center"/>
          </w:tcPr>
          <w:p w14:paraId="751273F8" w14:textId="77777777" w:rsidR="009A1B49" w:rsidRDefault="009A1B49">
            <w:pPr>
              <w:spacing w:after="0" w:line="260" w:lineRule="exact"/>
              <w:jc w:val="center"/>
              <w:rPr>
                <w:rFonts w:ascii="Times New Roman" w:eastAsia="仿宋" w:hAnsi="Times New Roman" w:cs="Times New Roman"/>
                <w:sz w:val="21"/>
                <w:szCs w:val="21"/>
              </w:rPr>
            </w:pPr>
          </w:p>
        </w:tc>
        <w:tc>
          <w:tcPr>
            <w:tcW w:w="708" w:type="dxa"/>
            <w:vAlign w:val="center"/>
          </w:tcPr>
          <w:p w14:paraId="5FF7E90D" w14:textId="77777777" w:rsidR="009A1B49"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18</w:t>
            </w:r>
          </w:p>
        </w:tc>
        <w:tc>
          <w:tcPr>
            <w:tcW w:w="2551" w:type="dxa"/>
            <w:vAlign w:val="center"/>
          </w:tcPr>
          <w:p w14:paraId="44B49095" w14:textId="77777777" w:rsidR="009A1B49"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过程操作风险：</w:t>
            </w:r>
            <w:r>
              <w:rPr>
                <w:rStyle w:val="font41"/>
                <w:rFonts w:hAnsi="宋体" w:hint="default"/>
                <w:sz w:val="21"/>
                <w:szCs w:val="21"/>
                <w:lang w:bidi="ar"/>
              </w:rPr>
              <w:t>在生物安全柜外进行病原微生物操作，导致气溶胶扩散；离心操作不当，造成离心管破裂，产生气溶胶；未经培训或未按要求使用生物安全柜（如堵塞排风）；解剖动物时未做好个人防护。</w:t>
            </w:r>
          </w:p>
        </w:tc>
        <w:tc>
          <w:tcPr>
            <w:tcW w:w="6237" w:type="dxa"/>
            <w:vAlign w:val="center"/>
          </w:tcPr>
          <w:p w14:paraId="5E1B7D71" w14:textId="77777777" w:rsidR="009A1B49"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）不得在超净工作台中进行生物安全二级以上病原微生物实验。</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）按标准操作规程安全操作高速离心机。</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）人员经考核合格，并取得证书。</w:t>
            </w:r>
            <w:r>
              <w:rPr>
                <w:rStyle w:val="font41"/>
                <w:rFonts w:hAnsi="宋体" w:hint="default"/>
                <w:sz w:val="21"/>
                <w:szCs w:val="21"/>
                <w:lang w:bidi="ar"/>
              </w:rPr>
              <w:br/>
              <w:t>（4）配备生物安全柜，并定期检测。</w:t>
            </w:r>
            <w:r>
              <w:rPr>
                <w:rStyle w:val="font41"/>
                <w:rFonts w:hAnsi="宋体" w:hint="default"/>
                <w:sz w:val="21"/>
                <w:szCs w:val="21"/>
                <w:lang w:bidi="ar"/>
              </w:rPr>
              <w:br/>
              <w:t>（5）进行实验动物时，必须做好个人安全防护。</w:t>
            </w:r>
          </w:p>
        </w:tc>
        <w:tc>
          <w:tcPr>
            <w:tcW w:w="1985" w:type="dxa"/>
            <w:vAlign w:val="center"/>
          </w:tcPr>
          <w:p w14:paraId="5FA845AB" w14:textId="77777777" w:rsidR="009A1B49" w:rsidRDefault="009A1B49">
            <w:pPr>
              <w:widowControl/>
              <w:spacing w:after="0" w:line="260" w:lineRule="exact"/>
              <w:jc w:val="center"/>
              <w:rPr>
                <w:rFonts w:ascii="Times New Roman" w:eastAsia="仿宋" w:hAnsi="Times New Roman" w:cs="Times New Roman"/>
                <w:sz w:val="21"/>
                <w:szCs w:val="21"/>
              </w:rPr>
            </w:pPr>
          </w:p>
        </w:tc>
        <w:tc>
          <w:tcPr>
            <w:tcW w:w="1985" w:type="dxa"/>
            <w:vAlign w:val="center"/>
          </w:tcPr>
          <w:p w14:paraId="5585A75B" w14:textId="77777777" w:rsidR="009A1B49" w:rsidRDefault="009A1B49">
            <w:pPr>
              <w:widowControl/>
              <w:spacing w:after="0" w:line="260" w:lineRule="exact"/>
              <w:rPr>
                <w:rFonts w:ascii="Times New Roman" w:eastAsia="仿宋" w:hAnsi="Times New Roman" w:cs="Times New Roman"/>
                <w:sz w:val="21"/>
                <w:szCs w:val="21"/>
              </w:rPr>
            </w:pPr>
          </w:p>
        </w:tc>
      </w:tr>
      <w:tr w:rsidR="009A1B49" w14:paraId="0F54EE97" w14:textId="77777777">
        <w:trPr>
          <w:trHeight w:val="1396"/>
          <w:jc w:val="center"/>
        </w:trPr>
        <w:tc>
          <w:tcPr>
            <w:tcW w:w="1280" w:type="dxa"/>
            <w:vMerge/>
            <w:vAlign w:val="center"/>
          </w:tcPr>
          <w:p w14:paraId="510F0A95" w14:textId="77777777" w:rsidR="009A1B49" w:rsidRDefault="009A1B49">
            <w:pPr>
              <w:spacing w:after="0" w:line="260" w:lineRule="exact"/>
              <w:jc w:val="center"/>
              <w:rPr>
                <w:rFonts w:ascii="Times New Roman" w:eastAsia="仿宋" w:hAnsi="Times New Roman" w:cs="Times New Roman"/>
                <w:sz w:val="21"/>
                <w:szCs w:val="21"/>
              </w:rPr>
            </w:pPr>
          </w:p>
        </w:tc>
        <w:tc>
          <w:tcPr>
            <w:tcW w:w="708" w:type="dxa"/>
            <w:vAlign w:val="center"/>
          </w:tcPr>
          <w:p w14:paraId="4915DF41" w14:textId="77777777" w:rsidR="009A1B49"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19</w:t>
            </w:r>
          </w:p>
        </w:tc>
        <w:tc>
          <w:tcPr>
            <w:tcW w:w="2551" w:type="dxa"/>
            <w:vAlign w:val="center"/>
          </w:tcPr>
          <w:p w14:paraId="67229462" w14:textId="77777777" w:rsidR="009A1B49"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物品与废物风险：</w:t>
            </w:r>
            <w:r>
              <w:rPr>
                <w:rStyle w:val="font41"/>
                <w:rFonts w:hAnsi="宋体" w:hint="default"/>
                <w:sz w:val="21"/>
                <w:szCs w:val="21"/>
                <w:lang w:bidi="ar"/>
              </w:rPr>
              <w:t>使用后的锐器（如针头、刀片）未放入利器盒，导致刺伤；感染性废物未经过有效灭菌即移出实验室；实验动物尸体及组织未做无害化处理。</w:t>
            </w:r>
          </w:p>
        </w:tc>
        <w:tc>
          <w:tcPr>
            <w:tcW w:w="6237" w:type="dxa"/>
            <w:vAlign w:val="center"/>
          </w:tcPr>
          <w:p w14:paraId="34A3504A" w14:textId="77777777" w:rsidR="009A1B49"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）尖锐物应使用利器盒</w:t>
            </w:r>
            <w:proofErr w:type="gramStart"/>
            <w:r>
              <w:rPr>
                <w:rStyle w:val="font41"/>
                <w:rFonts w:hAnsi="宋体" w:hint="default"/>
                <w:sz w:val="21"/>
                <w:szCs w:val="21"/>
                <w:lang w:bidi="ar"/>
              </w:rPr>
              <w:t>或耐扎纸板</w:t>
            </w:r>
            <w:proofErr w:type="gramEnd"/>
            <w:r>
              <w:rPr>
                <w:rStyle w:val="font41"/>
                <w:rFonts w:hAnsi="宋体" w:hint="default"/>
                <w:sz w:val="21"/>
                <w:szCs w:val="21"/>
                <w:lang w:bidi="ar"/>
              </w:rPr>
              <w:t>箱盛放。</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）感染性生物废物必须进行高温高压灭菌或化学浸泡处理，再由有资质的公司进行处置。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）动物尸体及组织应做无害化处理，感染性废物彻底灭菌。</w:t>
            </w:r>
            <w:r>
              <w:rPr>
                <w:rStyle w:val="font51"/>
                <w:rFonts w:eastAsia="仿宋_GB2312"/>
                <w:sz w:val="21"/>
                <w:szCs w:val="21"/>
                <w:lang w:bidi="ar"/>
              </w:rPr>
              <w:t xml:space="preserve">                  </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）实验室内配备生物废物垃圾桶（内置生物废物专用塑料袋）。</w:t>
            </w:r>
            <w:r>
              <w:rPr>
                <w:rStyle w:val="font51"/>
                <w:rFonts w:eastAsia="仿宋_GB2312"/>
                <w:sz w:val="21"/>
                <w:szCs w:val="21"/>
                <w:lang w:bidi="ar"/>
              </w:rPr>
              <w:t xml:space="preserve">       </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5</w:t>
            </w:r>
            <w:r>
              <w:rPr>
                <w:rStyle w:val="font41"/>
                <w:rFonts w:hAnsi="宋体" w:hint="default"/>
                <w:sz w:val="21"/>
                <w:szCs w:val="21"/>
                <w:lang w:bidi="ar"/>
              </w:rPr>
              <w:t>）实验室按要求定期进行消毒杀菌并监测效果。</w:t>
            </w:r>
          </w:p>
        </w:tc>
        <w:tc>
          <w:tcPr>
            <w:tcW w:w="1985" w:type="dxa"/>
            <w:vAlign w:val="center"/>
          </w:tcPr>
          <w:p w14:paraId="784BF4CE" w14:textId="77777777" w:rsidR="009A1B49" w:rsidRDefault="009A1B49">
            <w:pPr>
              <w:widowControl/>
              <w:spacing w:after="0" w:line="260" w:lineRule="exact"/>
              <w:jc w:val="center"/>
              <w:rPr>
                <w:rFonts w:ascii="Times New Roman" w:eastAsia="仿宋" w:hAnsi="Times New Roman" w:cs="Times New Roman"/>
                <w:sz w:val="21"/>
                <w:szCs w:val="21"/>
              </w:rPr>
            </w:pPr>
          </w:p>
        </w:tc>
        <w:tc>
          <w:tcPr>
            <w:tcW w:w="1985" w:type="dxa"/>
            <w:vAlign w:val="center"/>
          </w:tcPr>
          <w:p w14:paraId="14FB7F72" w14:textId="77777777" w:rsidR="009A1B49" w:rsidRDefault="009A1B49">
            <w:pPr>
              <w:widowControl/>
              <w:spacing w:after="0" w:line="260" w:lineRule="exact"/>
              <w:rPr>
                <w:rFonts w:ascii="Times New Roman" w:eastAsia="仿宋" w:hAnsi="Times New Roman" w:cs="Times New Roman"/>
                <w:sz w:val="21"/>
                <w:szCs w:val="21"/>
              </w:rPr>
            </w:pPr>
          </w:p>
        </w:tc>
      </w:tr>
      <w:tr w:rsidR="009A1B49" w14:paraId="54E73457" w14:textId="77777777">
        <w:trPr>
          <w:trHeight w:val="1364"/>
          <w:jc w:val="center"/>
        </w:trPr>
        <w:tc>
          <w:tcPr>
            <w:tcW w:w="1280" w:type="dxa"/>
            <w:vMerge/>
            <w:vAlign w:val="center"/>
          </w:tcPr>
          <w:p w14:paraId="4851D6D8" w14:textId="77777777" w:rsidR="009A1B49" w:rsidRDefault="009A1B49">
            <w:pPr>
              <w:spacing w:after="0" w:line="260" w:lineRule="exact"/>
              <w:jc w:val="center"/>
              <w:rPr>
                <w:rFonts w:ascii="Times New Roman" w:eastAsia="仿宋" w:hAnsi="Times New Roman" w:cs="Times New Roman"/>
                <w:sz w:val="21"/>
                <w:szCs w:val="21"/>
              </w:rPr>
            </w:pPr>
          </w:p>
        </w:tc>
        <w:tc>
          <w:tcPr>
            <w:tcW w:w="708" w:type="dxa"/>
            <w:vAlign w:val="center"/>
          </w:tcPr>
          <w:p w14:paraId="06ABFAF5" w14:textId="77777777" w:rsidR="009A1B49"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20</w:t>
            </w:r>
          </w:p>
        </w:tc>
        <w:tc>
          <w:tcPr>
            <w:tcW w:w="2551" w:type="dxa"/>
            <w:vAlign w:val="center"/>
          </w:tcPr>
          <w:p w14:paraId="0EC73E5B" w14:textId="77777777" w:rsidR="009A1B49"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资质与备案风险：</w:t>
            </w:r>
            <w:r>
              <w:rPr>
                <w:rStyle w:val="font41"/>
                <w:rFonts w:hAnsi="宋体" w:hint="default"/>
                <w:sz w:val="21"/>
                <w:szCs w:val="21"/>
                <w:lang w:bidi="ar"/>
              </w:rPr>
              <w:t>未经政府部门批准或备案，在不符合等级要求的实验室开展病原微生物实验；使用高致病性病原微生物菌（毒）</w:t>
            </w:r>
            <w:proofErr w:type="gramStart"/>
            <w:r>
              <w:rPr>
                <w:rStyle w:val="font41"/>
                <w:rFonts w:hAnsi="宋体" w:hint="default"/>
                <w:sz w:val="21"/>
                <w:szCs w:val="21"/>
                <w:lang w:bidi="ar"/>
              </w:rPr>
              <w:t>种未办理</w:t>
            </w:r>
            <w:proofErr w:type="gramEnd"/>
            <w:r>
              <w:rPr>
                <w:rStyle w:val="font41"/>
                <w:rFonts w:hAnsi="宋体" w:hint="default"/>
                <w:sz w:val="21"/>
                <w:szCs w:val="21"/>
                <w:lang w:bidi="ar"/>
              </w:rPr>
              <w:t>相应申请和报批手续。</w:t>
            </w:r>
          </w:p>
        </w:tc>
        <w:tc>
          <w:tcPr>
            <w:tcW w:w="6237" w:type="dxa"/>
            <w:vAlign w:val="center"/>
          </w:tcPr>
          <w:p w14:paraId="0CAFE920" w14:textId="77777777" w:rsidR="009A1B49"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w:t>
            </w:r>
            <w:r>
              <w:rPr>
                <w:rStyle w:val="font51"/>
                <w:rFonts w:eastAsia="仿宋_GB2312"/>
                <w:sz w:val="21"/>
                <w:szCs w:val="21"/>
                <w:lang w:bidi="ar"/>
              </w:rPr>
              <w:t>BSL-1/ABSL-1</w:t>
            </w:r>
            <w:r>
              <w:rPr>
                <w:rStyle w:val="font41"/>
                <w:rFonts w:hAnsi="宋体" w:hint="default"/>
                <w:sz w:val="21"/>
                <w:szCs w:val="21"/>
                <w:lang w:bidi="ar"/>
              </w:rPr>
              <w:t>、</w:t>
            </w:r>
            <w:r>
              <w:rPr>
                <w:rStyle w:val="font51"/>
                <w:rFonts w:eastAsia="仿宋_GB2312"/>
                <w:sz w:val="21"/>
                <w:szCs w:val="21"/>
                <w:lang w:bidi="ar"/>
              </w:rPr>
              <w:t>BSL-2/ABSL-2</w:t>
            </w:r>
            <w:r>
              <w:rPr>
                <w:rStyle w:val="font41"/>
                <w:rFonts w:hAnsi="宋体" w:hint="default"/>
                <w:sz w:val="21"/>
                <w:szCs w:val="21"/>
                <w:lang w:bidi="ar"/>
              </w:rPr>
              <w:t>实验室由学校建设后报设区的市卫生或农业农村部门备案。</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）合</w:t>
            </w:r>
            <w:proofErr w:type="gramStart"/>
            <w:r>
              <w:rPr>
                <w:rStyle w:val="font41"/>
                <w:rFonts w:hAnsi="宋体" w:hint="default"/>
                <w:sz w:val="21"/>
                <w:szCs w:val="21"/>
                <w:lang w:bidi="ar"/>
              </w:rPr>
              <w:t>规</w:t>
            </w:r>
            <w:proofErr w:type="gramEnd"/>
            <w:r>
              <w:rPr>
                <w:rStyle w:val="font41"/>
                <w:rFonts w:hAnsi="宋体" w:hint="default"/>
                <w:sz w:val="21"/>
                <w:szCs w:val="21"/>
                <w:lang w:bidi="ar"/>
              </w:rPr>
              <w:t>获取病原微生物菌（毒）株，学校应有审批流程。</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）转移和运输高致病病原微生物须按规定报批。</w:t>
            </w:r>
          </w:p>
        </w:tc>
        <w:tc>
          <w:tcPr>
            <w:tcW w:w="1985" w:type="dxa"/>
            <w:vAlign w:val="center"/>
          </w:tcPr>
          <w:p w14:paraId="538F2FB7" w14:textId="77777777" w:rsidR="009A1B49" w:rsidRDefault="009A1B49">
            <w:pPr>
              <w:widowControl/>
              <w:spacing w:after="0" w:line="260" w:lineRule="exact"/>
              <w:jc w:val="center"/>
              <w:rPr>
                <w:rFonts w:ascii="Times New Roman" w:eastAsia="仿宋" w:hAnsi="Times New Roman" w:cs="Times New Roman"/>
                <w:sz w:val="21"/>
                <w:szCs w:val="21"/>
              </w:rPr>
            </w:pPr>
          </w:p>
        </w:tc>
        <w:tc>
          <w:tcPr>
            <w:tcW w:w="1985" w:type="dxa"/>
            <w:vAlign w:val="center"/>
          </w:tcPr>
          <w:p w14:paraId="37265713" w14:textId="77777777" w:rsidR="009A1B49" w:rsidRDefault="009A1B49">
            <w:pPr>
              <w:widowControl/>
              <w:spacing w:after="0" w:line="260" w:lineRule="exact"/>
              <w:rPr>
                <w:rFonts w:ascii="Times New Roman" w:eastAsia="仿宋" w:hAnsi="Times New Roman" w:cs="Times New Roman"/>
                <w:sz w:val="21"/>
                <w:szCs w:val="21"/>
              </w:rPr>
            </w:pPr>
          </w:p>
        </w:tc>
      </w:tr>
      <w:tr w:rsidR="009A1B49" w14:paraId="1C718344" w14:textId="77777777">
        <w:trPr>
          <w:trHeight w:val="443"/>
          <w:jc w:val="center"/>
        </w:trPr>
        <w:tc>
          <w:tcPr>
            <w:tcW w:w="1280" w:type="dxa"/>
            <w:vMerge/>
            <w:vAlign w:val="center"/>
          </w:tcPr>
          <w:p w14:paraId="44CFCF89" w14:textId="77777777" w:rsidR="009A1B49" w:rsidRDefault="009A1B49">
            <w:pPr>
              <w:spacing w:after="0" w:line="260" w:lineRule="exact"/>
              <w:jc w:val="center"/>
              <w:rPr>
                <w:rFonts w:ascii="Times New Roman" w:eastAsia="仿宋" w:hAnsi="Times New Roman" w:cs="Times New Roman"/>
                <w:sz w:val="21"/>
                <w:szCs w:val="21"/>
              </w:rPr>
            </w:pPr>
          </w:p>
        </w:tc>
        <w:tc>
          <w:tcPr>
            <w:tcW w:w="708" w:type="dxa"/>
            <w:vAlign w:val="center"/>
          </w:tcPr>
          <w:p w14:paraId="7359A41E" w14:textId="77777777" w:rsidR="009A1B49"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21</w:t>
            </w:r>
          </w:p>
        </w:tc>
        <w:tc>
          <w:tcPr>
            <w:tcW w:w="2551" w:type="dxa"/>
            <w:vAlign w:val="center"/>
          </w:tcPr>
          <w:p w14:paraId="50F9FB93" w14:textId="77777777" w:rsidR="009A1B49"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人员与培训风险：</w:t>
            </w:r>
            <w:r>
              <w:rPr>
                <w:rStyle w:val="font41"/>
                <w:rFonts w:hAnsi="宋体" w:hint="default"/>
                <w:sz w:val="21"/>
                <w:szCs w:val="21"/>
                <w:lang w:bidi="ar"/>
              </w:rPr>
              <w:t>开展病原微生物相关实验和研究的人员未经过专业培训并取得证书；未对从事高致病性病原微生物的工作人员提供适宜的医学评估和</w:t>
            </w:r>
            <w:r>
              <w:rPr>
                <w:rStyle w:val="font41"/>
                <w:rFonts w:hAnsi="宋体" w:hint="default"/>
                <w:sz w:val="21"/>
                <w:szCs w:val="21"/>
                <w:lang w:bidi="ar"/>
              </w:rPr>
              <w:lastRenderedPageBreak/>
              <w:t>监测；外来人员随意进入生物安全实验室。</w:t>
            </w:r>
          </w:p>
        </w:tc>
        <w:tc>
          <w:tcPr>
            <w:tcW w:w="6237" w:type="dxa"/>
            <w:vAlign w:val="center"/>
          </w:tcPr>
          <w:p w14:paraId="213506CD" w14:textId="77777777" w:rsidR="009A1B49"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lastRenderedPageBreak/>
              <w:t>（</w:t>
            </w:r>
            <w:r>
              <w:rPr>
                <w:rStyle w:val="font51"/>
                <w:rFonts w:eastAsia="仿宋_GB2312"/>
                <w:sz w:val="21"/>
                <w:szCs w:val="21"/>
                <w:lang w:bidi="ar"/>
              </w:rPr>
              <w:t>1</w:t>
            </w:r>
            <w:r>
              <w:rPr>
                <w:rStyle w:val="font41"/>
                <w:rFonts w:hAnsi="宋体" w:hint="default"/>
                <w:sz w:val="21"/>
                <w:szCs w:val="21"/>
                <w:lang w:bidi="ar"/>
              </w:rPr>
              <w:t>）人员经考核合格，并取得证书。</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）对实验室工作人员进行健康监测，妥善保存医学记录。</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）外来人员进入生物安全实验室须经负责人批准，并有相关的教育培训、安全防控措施。</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）出现感冒发热等症状时，不得进行病原微生物实验。</w:t>
            </w:r>
          </w:p>
        </w:tc>
        <w:tc>
          <w:tcPr>
            <w:tcW w:w="1985" w:type="dxa"/>
            <w:vAlign w:val="center"/>
          </w:tcPr>
          <w:p w14:paraId="0A52BC7E" w14:textId="77777777" w:rsidR="009A1B49" w:rsidRDefault="009A1B49">
            <w:pPr>
              <w:widowControl/>
              <w:spacing w:after="0" w:line="260" w:lineRule="exact"/>
              <w:jc w:val="center"/>
              <w:rPr>
                <w:rFonts w:ascii="Times New Roman" w:eastAsia="仿宋" w:hAnsi="Times New Roman" w:cs="Times New Roman"/>
                <w:sz w:val="21"/>
                <w:szCs w:val="21"/>
              </w:rPr>
            </w:pPr>
          </w:p>
        </w:tc>
        <w:tc>
          <w:tcPr>
            <w:tcW w:w="1985" w:type="dxa"/>
            <w:vAlign w:val="center"/>
          </w:tcPr>
          <w:p w14:paraId="2315F555" w14:textId="77777777" w:rsidR="009A1B49" w:rsidRDefault="009A1B49">
            <w:pPr>
              <w:widowControl/>
              <w:spacing w:after="0" w:line="260" w:lineRule="exact"/>
              <w:rPr>
                <w:rFonts w:ascii="Times New Roman" w:eastAsia="仿宋" w:hAnsi="Times New Roman" w:cs="Times New Roman"/>
                <w:sz w:val="21"/>
                <w:szCs w:val="21"/>
              </w:rPr>
            </w:pPr>
          </w:p>
        </w:tc>
      </w:tr>
      <w:tr w:rsidR="009A1B49" w14:paraId="055BFF7F" w14:textId="77777777">
        <w:trPr>
          <w:trHeight w:val="1121"/>
          <w:jc w:val="center"/>
        </w:trPr>
        <w:tc>
          <w:tcPr>
            <w:tcW w:w="1280" w:type="dxa"/>
            <w:vMerge/>
            <w:vAlign w:val="center"/>
          </w:tcPr>
          <w:p w14:paraId="49C582D2" w14:textId="77777777" w:rsidR="009A1B49" w:rsidRDefault="009A1B49">
            <w:pPr>
              <w:spacing w:after="0" w:line="260" w:lineRule="exact"/>
              <w:jc w:val="center"/>
              <w:rPr>
                <w:rFonts w:ascii="Times New Roman" w:eastAsia="仿宋" w:hAnsi="Times New Roman" w:cs="Times New Roman"/>
                <w:sz w:val="21"/>
                <w:szCs w:val="21"/>
              </w:rPr>
            </w:pPr>
          </w:p>
        </w:tc>
        <w:tc>
          <w:tcPr>
            <w:tcW w:w="708" w:type="dxa"/>
            <w:vAlign w:val="center"/>
          </w:tcPr>
          <w:p w14:paraId="39389831" w14:textId="77777777" w:rsidR="009A1B49"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22</w:t>
            </w:r>
          </w:p>
        </w:tc>
        <w:tc>
          <w:tcPr>
            <w:tcW w:w="2551" w:type="dxa"/>
            <w:vAlign w:val="center"/>
          </w:tcPr>
          <w:p w14:paraId="4B336AD7" w14:textId="77777777" w:rsidR="009A1B49"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伦理与处置风险：</w:t>
            </w:r>
            <w:r>
              <w:rPr>
                <w:rStyle w:val="font41"/>
                <w:rFonts w:hAnsi="宋体" w:hint="default"/>
                <w:sz w:val="21"/>
                <w:szCs w:val="21"/>
                <w:lang w:bidi="ar"/>
              </w:rPr>
              <w:t>动物实验未通过伦理审查；生物废物处置不规范，未与有资质的单位签约处置，或与生活垃圾混装。</w:t>
            </w:r>
          </w:p>
        </w:tc>
        <w:tc>
          <w:tcPr>
            <w:tcW w:w="6237" w:type="dxa"/>
            <w:vAlign w:val="center"/>
          </w:tcPr>
          <w:p w14:paraId="0E96882F" w14:textId="77777777" w:rsidR="009A1B49"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）学校有实验动物福利伦理审查机构，有审查记录。</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）学校与有资质的单位签约处置感染性废物，有交接记录。</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）生物废物应与化学废物、生活垃圾等分开贮存。</w:t>
            </w:r>
          </w:p>
        </w:tc>
        <w:tc>
          <w:tcPr>
            <w:tcW w:w="1985" w:type="dxa"/>
            <w:vAlign w:val="center"/>
          </w:tcPr>
          <w:p w14:paraId="3FF330E4" w14:textId="77777777" w:rsidR="009A1B49" w:rsidRDefault="009A1B49">
            <w:pPr>
              <w:widowControl/>
              <w:spacing w:after="0" w:line="260" w:lineRule="exact"/>
              <w:jc w:val="center"/>
              <w:rPr>
                <w:rFonts w:ascii="Times New Roman" w:eastAsia="仿宋" w:hAnsi="Times New Roman" w:cs="Times New Roman"/>
                <w:sz w:val="21"/>
                <w:szCs w:val="21"/>
              </w:rPr>
            </w:pPr>
          </w:p>
        </w:tc>
        <w:tc>
          <w:tcPr>
            <w:tcW w:w="1985" w:type="dxa"/>
            <w:vAlign w:val="center"/>
          </w:tcPr>
          <w:p w14:paraId="6FA76F0C" w14:textId="77777777" w:rsidR="009A1B49" w:rsidRDefault="009A1B49">
            <w:pPr>
              <w:widowControl/>
              <w:spacing w:after="0" w:line="260" w:lineRule="exact"/>
              <w:rPr>
                <w:rFonts w:ascii="Times New Roman" w:eastAsia="仿宋" w:hAnsi="Times New Roman" w:cs="Times New Roman"/>
                <w:sz w:val="21"/>
                <w:szCs w:val="21"/>
              </w:rPr>
            </w:pPr>
          </w:p>
        </w:tc>
      </w:tr>
      <w:tr w:rsidR="009A1B49" w14:paraId="0D1BD970" w14:textId="77777777">
        <w:trPr>
          <w:trHeight w:val="2181"/>
          <w:jc w:val="center"/>
        </w:trPr>
        <w:tc>
          <w:tcPr>
            <w:tcW w:w="1280" w:type="dxa"/>
            <w:vMerge w:val="restart"/>
            <w:vAlign w:val="center"/>
          </w:tcPr>
          <w:p w14:paraId="35656069" w14:textId="77777777" w:rsidR="009A1B49"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【第四类】辐射安全风险</w:t>
            </w:r>
          </w:p>
        </w:tc>
        <w:tc>
          <w:tcPr>
            <w:tcW w:w="708" w:type="dxa"/>
            <w:vAlign w:val="center"/>
          </w:tcPr>
          <w:p w14:paraId="0D307B9B" w14:textId="77777777" w:rsidR="009A1B49"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23</w:t>
            </w:r>
          </w:p>
        </w:tc>
        <w:tc>
          <w:tcPr>
            <w:tcW w:w="2551" w:type="dxa"/>
            <w:vAlign w:val="center"/>
          </w:tcPr>
          <w:p w14:paraId="1802AC86" w14:textId="77777777" w:rsidR="009A1B49"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外照射风险：</w:t>
            </w:r>
            <w:r>
              <w:rPr>
                <w:rStyle w:val="font51"/>
                <w:rFonts w:eastAsia="仿宋_GB2312"/>
                <w:sz w:val="21"/>
                <w:szCs w:val="21"/>
                <w:lang w:bidi="ar"/>
              </w:rPr>
              <w:t>γ</w:t>
            </w:r>
            <w:r>
              <w:rPr>
                <w:rStyle w:val="font41"/>
                <w:rFonts w:hAnsi="宋体" w:hint="default"/>
                <w:sz w:val="21"/>
                <w:szCs w:val="21"/>
                <w:lang w:bidi="ar"/>
              </w:rPr>
              <w:t>辐照装置、</w:t>
            </w:r>
            <w:r>
              <w:rPr>
                <w:rStyle w:val="font51"/>
                <w:rFonts w:eastAsia="仿宋_GB2312"/>
                <w:sz w:val="21"/>
                <w:szCs w:val="21"/>
                <w:lang w:bidi="ar"/>
              </w:rPr>
              <w:t>X</w:t>
            </w:r>
            <w:r>
              <w:rPr>
                <w:rStyle w:val="font41"/>
                <w:rFonts w:hAnsi="宋体" w:hint="default"/>
                <w:sz w:val="21"/>
                <w:szCs w:val="21"/>
                <w:lang w:bidi="ar"/>
              </w:rPr>
              <w:t>射线衍射仪、电子加速器等射线装置，以及密封放射源，在无屏蔽或屏蔽不足的情况下，人员近距离接触会受到持续的或瞬时的外照射，可能引起组织损伤、白血病、癌症等。</w:t>
            </w:r>
          </w:p>
        </w:tc>
        <w:tc>
          <w:tcPr>
            <w:tcW w:w="6237" w:type="dxa"/>
            <w:vAlign w:val="center"/>
          </w:tcPr>
          <w:p w14:paraId="39A14189" w14:textId="77777777" w:rsidR="009A1B49"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）辐射工作人员应具有考核成绩报告单。</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）进入实验场所须佩戴个人剂量计。</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）辐照设施设备和场所应具有能正常工作的安全联锁装置和报警装置。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）各类放射性装置有符合国家相关规定的操作规程、安保方案及应急预案，并遵照执行。</w:t>
            </w:r>
          </w:p>
        </w:tc>
        <w:tc>
          <w:tcPr>
            <w:tcW w:w="1985" w:type="dxa"/>
            <w:vAlign w:val="center"/>
          </w:tcPr>
          <w:p w14:paraId="7A5BE8BA" w14:textId="77777777" w:rsidR="009A1B49" w:rsidRDefault="009A1B49">
            <w:pPr>
              <w:widowControl/>
              <w:spacing w:after="0" w:line="260" w:lineRule="exact"/>
              <w:jc w:val="center"/>
              <w:rPr>
                <w:rFonts w:ascii="Times New Roman" w:eastAsia="仿宋" w:hAnsi="Times New Roman" w:cs="Times New Roman"/>
                <w:sz w:val="21"/>
                <w:szCs w:val="21"/>
              </w:rPr>
            </w:pPr>
          </w:p>
        </w:tc>
        <w:tc>
          <w:tcPr>
            <w:tcW w:w="1985" w:type="dxa"/>
            <w:vAlign w:val="center"/>
          </w:tcPr>
          <w:p w14:paraId="32FC1E1C" w14:textId="77777777" w:rsidR="009A1B49" w:rsidRDefault="009A1B49">
            <w:pPr>
              <w:widowControl/>
              <w:spacing w:after="0" w:line="260" w:lineRule="exact"/>
              <w:rPr>
                <w:rFonts w:ascii="Times New Roman" w:eastAsia="仿宋" w:hAnsi="Times New Roman" w:cs="Times New Roman"/>
                <w:sz w:val="21"/>
                <w:szCs w:val="21"/>
              </w:rPr>
            </w:pPr>
          </w:p>
        </w:tc>
      </w:tr>
      <w:tr w:rsidR="009A1B49" w14:paraId="4EB9B1F2" w14:textId="77777777">
        <w:trPr>
          <w:trHeight w:val="1112"/>
          <w:jc w:val="center"/>
        </w:trPr>
        <w:tc>
          <w:tcPr>
            <w:tcW w:w="1280" w:type="dxa"/>
            <w:vMerge/>
            <w:vAlign w:val="center"/>
          </w:tcPr>
          <w:p w14:paraId="0071592F" w14:textId="77777777" w:rsidR="009A1B49" w:rsidRDefault="009A1B49">
            <w:pPr>
              <w:spacing w:after="0" w:line="260" w:lineRule="exact"/>
              <w:jc w:val="center"/>
              <w:rPr>
                <w:rFonts w:ascii="Times New Roman" w:eastAsia="仿宋" w:hAnsi="Times New Roman" w:cs="Times New Roman"/>
                <w:sz w:val="21"/>
                <w:szCs w:val="21"/>
              </w:rPr>
            </w:pPr>
          </w:p>
        </w:tc>
        <w:tc>
          <w:tcPr>
            <w:tcW w:w="708" w:type="dxa"/>
            <w:vAlign w:val="center"/>
          </w:tcPr>
          <w:p w14:paraId="17771C18" w14:textId="77777777" w:rsidR="009A1B49"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24</w:t>
            </w:r>
          </w:p>
        </w:tc>
        <w:tc>
          <w:tcPr>
            <w:tcW w:w="2551" w:type="dxa"/>
            <w:vAlign w:val="center"/>
          </w:tcPr>
          <w:p w14:paraId="4F7D8B27" w14:textId="77777777" w:rsidR="009A1B49"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内照射风险：</w:t>
            </w:r>
            <w:r>
              <w:rPr>
                <w:rStyle w:val="font41"/>
                <w:rFonts w:hAnsi="宋体" w:hint="default"/>
                <w:sz w:val="21"/>
                <w:szCs w:val="21"/>
                <w:lang w:bidi="ar"/>
              </w:rPr>
              <w:t>操作非密封放射性物质（如放射性同位素示踪剂）时，若防护不当，可能通过吸入、食入或伤口进入体内，造成内照射，对器官造成长期损害。</w:t>
            </w:r>
          </w:p>
        </w:tc>
        <w:tc>
          <w:tcPr>
            <w:tcW w:w="6237" w:type="dxa"/>
            <w:vAlign w:val="center"/>
          </w:tcPr>
          <w:p w14:paraId="1E50329F" w14:textId="77777777" w:rsidR="009A1B49"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）进入实验场所须佩戴个人剂量计。</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）辐射工作人员经过专门培训。</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）制定辐射事故应急预案并演练。</w:t>
            </w:r>
          </w:p>
        </w:tc>
        <w:tc>
          <w:tcPr>
            <w:tcW w:w="1985" w:type="dxa"/>
            <w:vAlign w:val="center"/>
          </w:tcPr>
          <w:p w14:paraId="05B2B8A9" w14:textId="77777777" w:rsidR="009A1B49" w:rsidRDefault="009A1B49">
            <w:pPr>
              <w:widowControl/>
              <w:spacing w:after="0" w:line="260" w:lineRule="exact"/>
              <w:jc w:val="center"/>
              <w:rPr>
                <w:rFonts w:ascii="Times New Roman" w:eastAsia="仿宋" w:hAnsi="Times New Roman" w:cs="Times New Roman"/>
                <w:sz w:val="21"/>
                <w:szCs w:val="21"/>
              </w:rPr>
            </w:pPr>
          </w:p>
        </w:tc>
        <w:tc>
          <w:tcPr>
            <w:tcW w:w="1985" w:type="dxa"/>
            <w:vAlign w:val="center"/>
          </w:tcPr>
          <w:p w14:paraId="3462D608" w14:textId="77777777" w:rsidR="009A1B49" w:rsidRDefault="009A1B49">
            <w:pPr>
              <w:widowControl/>
              <w:spacing w:after="0" w:line="260" w:lineRule="exact"/>
              <w:rPr>
                <w:rFonts w:ascii="Times New Roman" w:eastAsia="仿宋" w:hAnsi="Times New Roman" w:cs="Times New Roman"/>
                <w:sz w:val="21"/>
                <w:szCs w:val="21"/>
              </w:rPr>
            </w:pPr>
          </w:p>
        </w:tc>
      </w:tr>
      <w:tr w:rsidR="009A1B49" w14:paraId="0DFA2A88" w14:textId="77777777">
        <w:trPr>
          <w:trHeight w:val="551"/>
          <w:jc w:val="center"/>
        </w:trPr>
        <w:tc>
          <w:tcPr>
            <w:tcW w:w="1280" w:type="dxa"/>
            <w:vMerge/>
            <w:vAlign w:val="center"/>
          </w:tcPr>
          <w:p w14:paraId="44EC5DDE" w14:textId="77777777" w:rsidR="009A1B49" w:rsidRDefault="009A1B49">
            <w:pPr>
              <w:spacing w:after="0" w:line="260" w:lineRule="exact"/>
              <w:jc w:val="center"/>
              <w:rPr>
                <w:rFonts w:ascii="Times New Roman" w:eastAsia="仿宋" w:hAnsi="Times New Roman" w:cs="Times New Roman"/>
                <w:sz w:val="21"/>
                <w:szCs w:val="21"/>
              </w:rPr>
            </w:pPr>
          </w:p>
        </w:tc>
        <w:tc>
          <w:tcPr>
            <w:tcW w:w="708" w:type="dxa"/>
            <w:vAlign w:val="center"/>
          </w:tcPr>
          <w:p w14:paraId="3AD9D608" w14:textId="77777777" w:rsidR="009A1B49"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25</w:t>
            </w:r>
          </w:p>
        </w:tc>
        <w:tc>
          <w:tcPr>
            <w:tcW w:w="2551" w:type="dxa"/>
            <w:vAlign w:val="center"/>
          </w:tcPr>
          <w:p w14:paraId="51F4B637" w14:textId="77777777" w:rsidR="009A1B49"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操作风险：</w:t>
            </w:r>
            <w:r>
              <w:rPr>
                <w:rStyle w:val="font41"/>
                <w:rFonts w:hAnsi="宋体" w:hint="default"/>
                <w:sz w:val="21"/>
                <w:szCs w:val="21"/>
                <w:lang w:bidi="ar"/>
              </w:rPr>
              <w:t>未按规定程序操作辐照装置，导致人员误入辐照室被照射；放射性物质在实验过程中发生泄漏、泼洒，造成大面积污染；使用老旧或故障设备，联锁装置失效。</w:t>
            </w:r>
          </w:p>
        </w:tc>
        <w:tc>
          <w:tcPr>
            <w:tcW w:w="6237" w:type="dxa"/>
            <w:vAlign w:val="center"/>
          </w:tcPr>
          <w:p w14:paraId="33FF367F" w14:textId="77777777" w:rsidR="009A1B49"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）辐照设施设备具有有效安全联锁装置。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）辐射实验场所每年有合格的实验场所检测报告。</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）遵守操作规程、安保方案及应急预案。</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）定期组织应急演练。</w:t>
            </w:r>
          </w:p>
        </w:tc>
        <w:tc>
          <w:tcPr>
            <w:tcW w:w="1985" w:type="dxa"/>
            <w:vAlign w:val="center"/>
          </w:tcPr>
          <w:p w14:paraId="60DA69CC" w14:textId="77777777" w:rsidR="009A1B49" w:rsidRDefault="009A1B49">
            <w:pPr>
              <w:widowControl/>
              <w:spacing w:after="0" w:line="260" w:lineRule="exact"/>
              <w:jc w:val="center"/>
              <w:rPr>
                <w:rFonts w:ascii="Times New Roman" w:eastAsia="仿宋" w:hAnsi="Times New Roman" w:cs="Times New Roman"/>
                <w:sz w:val="21"/>
                <w:szCs w:val="21"/>
              </w:rPr>
            </w:pPr>
          </w:p>
        </w:tc>
        <w:tc>
          <w:tcPr>
            <w:tcW w:w="1985" w:type="dxa"/>
            <w:vAlign w:val="center"/>
          </w:tcPr>
          <w:p w14:paraId="361991C6" w14:textId="77777777" w:rsidR="009A1B49" w:rsidRDefault="009A1B49">
            <w:pPr>
              <w:widowControl/>
              <w:spacing w:after="0" w:line="260" w:lineRule="exact"/>
              <w:rPr>
                <w:rFonts w:ascii="Times New Roman" w:eastAsia="仿宋" w:hAnsi="Times New Roman" w:cs="Times New Roman"/>
                <w:sz w:val="21"/>
                <w:szCs w:val="21"/>
              </w:rPr>
            </w:pPr>
          </w:p>
        </w:tc>
      </w:tr>
      <w:tr w:rsidR="009A1B49" w14:paraId="63E4D519" w14:textId="77777777">
        <w:trPr>
          <w:trHeight w:val="625"/>
          <w:jc w:val="center"/>
        </w:trPr>
        <w:tc>
          <w:tcPr>
            <w:tcW w:w="1280" w:type="dxa"/>
            <w:vMerge/>
            <w:vAlign w:val="center"/>
          </w:tcPr>
          <w:p w14:paraId="513E4F77" w14:textId="77777777" w:rsidR="009A1B49" w:rsidRDefault="009A1B49">
            <w:pPr>
              <w:spacing w:after="0" w:line="260" w:lineRule="exact"/>
              <w:jc w:val="center"/>
              <w:rPr>
                <w:rFonts w:ascii="Times New Roman" w:eastAsia="仿宋" w:hAnsi="Times New Roman" w:cs="Times New Roman"/>
                <w:sz w:val="21"/>
                <w:szCs w:val="21"/>
              </w:rPr>
            </w:pPr>
          </w:p>
        </w:tc>
        <w:tc>
          <w:tcPr>
            <w:tcW w:w="708" w:type="dxa"/>
            <w:vAlign w:val="center"/>
          </w:tcPr>
          <w:p w14:paraId="5E7B5A93" w14:textId="77777777" w:rsidR="009A1B49"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26</w:t>
            </w:r>
          </w:p>
        </w:tc>
        <w:tc>
          <w:tcPr>
            <w:tcW w:w="2551" w:type="dxa"/>
            <w:vAlign w:val="center"/>
          </w:tcPr>
          <w:p w14:paraId="3D4EAB25" w14:textId="77777777" w:rsidR="009A1B49"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储存与保管风险：</w:t>
            </w:r>
            <w:r>
              <w:rPr>
                <w:rStyle w:val="font41"/>
                <w:rFonts w:hAnsi="宋体" w:hint="default"/>
                <w:sz w:val="21"/>
                <w:szCs w:val="21"/>
                <w:lang w:bidi="ar"/>
              </w:rPr>
              <w:t>放射源未按规定在储库或保险柜中存放，或未执行双人双锁管理，存在被盗、丢失风险。</w:t>
            </w:r>
          </w:p>
        </w:tc>
        <w:tc>
          <w:tcPr>
            <w:tcW w:w="6237" w:type="dxa"/>
            <w:vAlign w:val="center"/>
          </w:tcPr>
          <w:p w14:paraId="0E0879F2" w14:textId="77777777" w:rsidR="009A1B49"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）放射源有专人管理并做好贮存、领取、发放情况登记。</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）核材料许可证持有单位须建立专职机构或指定专人负责保管核材料，保证账物相符。</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）放射源储存库应设双人双锁，并有安全报警系统和视频监控系统。</w:t>
            </w:r>
          </w:p>
        </w:tc>
        <w:tc>
          <w:tcPr>
            <w:tcW w:w="1985" w:type="dxa"/>
            <w:vAlign w:val="center"/>
          </w:tcPr>
          <w:p w14:paraId="763AE1AC" w14:textId="77777777" w:rsidR="009A1B49" w:rsidRDefault="009A1B49">
            <w:pPr>
              <w:widowControl/>
              <w:spacing w:after="0" w:line="260" w:lineRule="exact"/>
              <w:jc w:val="center"/>
              <w:rPr>
                <w:rFonts w:ascii="Times New Roman" w:eastAsia="仿宋" w:hAnsi="Times New Roman" w:cs="Times New Roman"/>
                <w:sz w:val="21"/>
                <w:szCs w:val="21"/>
              </w:rPr>
            </w:pPr>
          </w:p>
        </w:tc>
        <w:tc>
          <w:tcPr>
            <w:tcW w:w="1985" w:type="dxa"/>
            <w:vAlign w:val="center"/>
          </w:tcPr>
          <w:p w14:paraId="4BF07C7E" w14:textId="77777777" w:rsidR="009A1B49" w:rsidRDefault="009A1B49">
            <w:pPr>
              <w:widowControl/>
              <w:spacing w:after="0" w:line="260" w:lineRule="exact"/>
              <w:rPr>
                <w:rFonts w:ascii="Times New Roman" w:eastAsia="仿宋" w:hAnsi="Times New Roman" w:cs="Times New Roman"/>
                <w:sz w:val="21"/>
                <w:szCs w:val="21"/>
              </w:rPr>
            </w:pPr>
          </w:p>
        </w:tc>
      </w:tr>
      <w:tr w:rsidR="009A1B49" w14:paraId="5FD39671" w14:textId="77777777">
        <w:trPr>
          <w:trHeight w:val="1929"/>
          <w:jc w:val="center"/>
        </w:trPr>
        <w:tc>
          <w:tcPr>
            <w:tcW w:w="1280" w:type="dxa"/>
            <w:vMerge/>
            <w:vAlign w:val="center"/>
          </w:tcPr>
          <w:p w14:paraId="5CD00C6D" w14:textId="77777777" w:rsidR="009A1B49" w:rsidRDefault="009A1B49">
            <w:pPr>
              <w:spacing w:after="0" w:line="260" w:lineRule="exact"/>
              <w:jc w:val="center"/>
              <w:rPr>
                <w:rFonts w:ascii="Times New Roman" w:eastAsia="仿宋" w:hAnsi="Times New Roman" w:cs="Times New Roman"/>
                <w:sz w:val="21"/>
                <w:szCs w:val="21"/>
              </w:rPr>
            </w:pPr>
          </w:p>
        </w:tc>
        <w:tc>
          <w:tcPr>
            <w:tcW w:w="708" w:type="dxa"/>
            <w:vAlign w:val="center"/>
          </w:tcPr>
          <w:p w14:paraId="3479A477" w14:textId="77777777" w:rsidR="009A1B49"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27</w:t>
            </w:r>
          </w:p>
        </w:tc>
        <w:tc>
          <w:tcPr>
            <w:tcW w:w="2551" w:type="dxa"/>
            <w:vAlign w:val="center"/>
          </w:tcPr>
          <w:p w14:paraId="39A72E2A" w14:textId="77777777" w:rsidR="009A1B49"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资质与人员风险：</w:t>
            </w:r>
            <w:r>
              <w:rPr>
                <w:rStyle w:val="font41"/>
                <w:rFonts w:hAnsi="宋体" w:hint="default"/>
                <w:sz w:val="21"/>
                <w:szCs w:val="21"/>
                <w:lang w:bidi="ar"/>
              </w:rPr>
              <w:t>未取得辐射安全许可证即开展辐射工作；辐射工作人员未经过专门培训考核，未定</w:t>
            </w:r>
            <w:proofErr w:type="gramStart"/>
            <w:r>
              <w:rPr>
                <w:rStyle w:val="font41"/>
                <w:rFonts w:hAnsi="宋体" w:hint="default"/>
                <w:sz w:val="21"/>
                <w:szCs w:val="21"/>
                <w:lang w:bidi="ar"/>
              </w:rPr>
              <w:t>期参加</w:t>
            </w:r>
            <w:proofErr w:type="gramEnd"/>
            <w:r>
              <w:rPr>
                <w:rStyle w:val="font41"/>
                <w:rFonts w:hAnsi="宋体" w:hint="default"/>
                <w:sz w:val="21"/>
                <w:szCs w:val="21"/>
                <w:lang w:bidi="ar"/>
              </w:rPr>
              <w:t>职业体检；未按规定佩戴个人剂量计，或剂量计未按时送检。</w:t>
            </w:r>
          </w:p>
        </w:tc>
        <w:tc>
          <w:tcPr>
            <w:tcW w:w="6237" w:type="dxa"/>
            <w:vAlign w:val="center"/>
          </w:tcPr>
          <w:p w14:paraId="5DA2DF4B" w14:textId="77777777" w:rsidR="009A1B49"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）工作单位须取得辐射安全许可证。</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）工作人员应具有考核成绩报告单。</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）工作人员按时参加放射性职业体检，有健康档案。</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）工作人员须佩戴个人剂量计，剂量计委托有资质的单位按时进行剂量监测。</w:t>
            </w:r>
          </w:p>
        </w:tc>
        <w:tc>
          <w:tcPr>
            <w:tcW w:w="1985" w:type="dxa"/>
            <w:vAlign w:val="center"/>
          </w:tcPr>
          <w:p w14:paraId="4C5D1883" w14:textId="77777777" w:rsidR="009A1B49" w:rsidRDefault="009A1B49">
            <w:pPr>
              <w:widowControl/>
              <w:spacing w:after="0" w:line="260" w:lineRule="exact"/>
              <w:jc w:val="center"/>
              <w:rPr>
                <w:rFonts w:ascii="Times New Roman" w:eastAsia="仿宋" w:hAnsi="Times New Roman" w:cs="Times New Roman"/>
                <w:sz w:val="21"/>
                <w:szCs w:val="21"/>
              </w:rPr>
            </w:pPr>
          </w:p>
        </w:tc>
        <w:tc>
          <w:tcPr>
            <w:tcW w:w="1985" w:type="dxa"/>
            <w:vAlign w:val="center"/>
          </w:tcPr>
          <w:p w14:paraId="2A823262" w14:textId="77777777" w:rsidR="009A1B49" w:rsidRDefault="009A1B49">
            <w:pPr>
              <w:widowControl/>
              <w:spacing w:after="0" w:line="260" w:lineRule="exact"/>
              <w:rPr>
                <w:rFonts w:ascii="Times New Roman" w:eastAsia="仿宋" w:hAnsi="Times New Roman" w:cs="Times New Roman"/>
                <w:sz w:val="21"/>
                <w:szCs w:val="21"/>
              </w:rPr>
            </w:pPr>
          </w:p>
        </w:tc>
      </w:tr>
      <w:tr w:rsidR="009A1B49" w14:paraId="637B5B6F" w14:textId="77777777">
        <w:trPr>
          <w:trHeight w:val="230"/>
          <w:jc w:val="center"/>
        </w:trPr>
        <w:tc>
          <w:tcPr>
            <w:tcW w:w="1280" w:type="dxa"/>
            <w:vMerge/>
            <w:vAlign w:val="center"/>
          </w:tcPr>
          <w:p w14:paraId="533F59C5" w14:textId="77777777" w:rsidR="009A1B49" w:rsidRDefault="009A1B49">
            <w:pPr>
              <w:spacing w:after="0" w:line="260" w:lineRule="exact"/>
              <w:jc w:val="center"/>
              <w:rPr>
                <w:rFonts w:ascii="Times New Roman" w:eastAsia="仿宋" w:hAnsi="Times New Roman" w:cs="Times New Roman"/>
                <w:sz w:val="21"/>
                <w:szCs w:val="21"/>
              </w:rPr>
            </w:pPr>
          </w:p>
        </w:tc>
        <w:tc>
          <w:tcPr>
            <w:tcW w:w="708" w:type="dxa"/>
            <w:vAlign w:val="center"/>
          </w:tcPr>
          <w:p w14:paraId="4063C9E9" w14:textId="77777777" w:rsidR="009A1B49"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28</w:t>
            </w:r>
          </w:p>
        </w:tc>
        <w:tc>
          <w:tcPr>
            <w:tcW w:w="2551" w:type="dxa"/>
            <w:vAlign w:val="center"/>
          </w:tcPr>
          <w:p w14:paraId="4F45C656" w14:textId="77777777" w:rsidR="009A1B49"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场所与废物风险：</w:t>
            </w:r>
            <w:r>
              <w:rPr>
                <w:rStyle w:val="font41"/>
                <w:rFonts w:hAnsi="宋体" w:hint="default"/>
                <w:sz w:val="21"/>
                <w:szCs w:val="21"/>
                <w:lang w:bidi="ar"/>
              </w:rPr>
              <w:t>辐射设施和场所未设置警示、</w:t>
            </w:r>
            <w:proofErr w:type="gramStart"/>
            <w:r>
              <w:rPr>
                <w:rStyle w:val="font41"/>
                <w:rFonts w:hAnsi="宋体" w:hint="default"/>
                <w:sz w:val="21"/>
                <w:szCs w:val="21"/>
                <w:lang w:bidi="ar"/>
              </w:rPr>
              <w:t>联锁</w:t>
            </w:r>
            <w:proofErr w:type="gramEnd"/>
            <w:r>
              <w:rPr>
                <w:rStyle w:val="font41"/>
                <w:rFonts w:hAnsi="宋体" w:hint="default"/>
                <w:sz w:val="21"/>
                <w:szCs w:val="21"/>
                <w:lang w:bidi="ar"/>
              </w:rPr>
              <w:t>和报警装置；放射性废物（源）未严加管理，当作普通废物处理；放射性废液未经处理随意排放；放射性物质转让、转移和运输未按规定报批。</w:t>
            </w:r>
          </w:p>
        </w:tc>
        <w:tc>
          <w:tcPr>
            <w:tcW w:w="6237" w:type="dxa"/>
            <w:vAlign w:val="center"/>
          </w:tcPr>
          <w:p w14:paraId="42D6B127" w14:textId="77777777" w:rsidR="009A1B49"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）有明显的安全警示标志</w:t>
            </w:r>
            <w:r>
              <w:rPr>
                <w:rStyle w:val="font51"/>
                <w:rFonts w:eastAsia="仿宋_GB2312"/>
                <w:sz w:val="21"/>
                <w:szCs w:val="21"/>
                <w:lang w:bidi="ar"/>
              </w:rPr>
              <w:t xml:space="preserve"> </w:t>
            </w:r>
            <w:r>
              <w:rPr>
                <w:rStyle w:val="font41"/>
                <w:rFonts w:hAnsi="宋体" w:hint="default"/>
                <w:sz w:val="21"/>
                <w:szCs w:val="21"/>
                <w:lang w:bidi="ar"/>
              </w:rPr>
              <w:t>、警戒线和剂量报警仪。</w:t>
            </w:r>
            <w:r>
              <w:rPr>
                <w:rStyle w:val="font51"/>
                <w:rFonts w:eastAsia="仿宋_GB2312"/>
                <w:sz w:val="21"/>
                <w:szCs w:val="21"/>
                <w:lang w:bidi="ar"/>
              </w:rPr>
              <w:t xml:space="preserve">                                                                                                                                                                                                                                                                                      </w:t>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）配置专门的放射性废物收集桶，放射性</w:t>
            </w:r>
            <w:proofErr w:type="gramStart"/>
            <w:r>
              <w:rPr>
                <w:rStyle w:val="font41"/>
                <w:rFonts w:hAnsi="宋体" w:hint="default"/>
                <w:sz w:val="21"/>
                <w:szCs w:val="21"/>
                <w:lang w:bidi="ar"/>
              </w:rPr>
              <w:t>废液送贮前</w:t>
            </w:r>
            <w:proofErr w:type="gramEnd"/>
            <w:r>
              <w:rPr>
                <w:rStyle w:val="font41"/>
                <w:rFonts w:hAnsi="宋体" w:hint="default"/>
                <w:sz w:val="21"/>
                <w:szCs w:val="21"/>
                <w:lang w:bidi="ar"/>
              </w:rPr>
              <w:t>应进行固化整备。</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）放射性废物应及时送交有资质的单位贮存。</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）排放气态或液态放射性流出物应严格按照环</w:t>
            </w:r>
            <w:proofErr w:type="gramStart"/>
            <w:r>
              <w:rPr>
                <w:rStyle w:val="font41"/>
                <w:rFonts w:hAnsi="宋体" w:hint="default"/>
                <w:sz w:val="21"/>
                <w:szCs w:val="21"/>
                <w:lang w:bidi="ar"/>
              </w:rPr>
              <w:t>评批准</w:t>
            </w:r>
            <w:proofErr w:type="gramEnd"/>
            <w:r>
              <w:rPr>
                <w:rStyle w:val="font41"/>
                <w:rFonts w:hAnsi="宋体" w:hint="default"/>
                <w:sz w:val="21"/>
                <w:szCs w:val="21"/>
                <w:lang w:bidi="ar"/>
              </w:rPr>
              <w:t>的方式执行。</w:t>
            </w:r>
          </w:p>
        </w:tc>
        <w:tc>
          <w:tcPr>
            <w:tcW w:w="1985" w:type="dxa"/>
            <w:vAlign w:val="center"/>
          </w:tcPr>
          <w:p w14:paraId="4156EBD3" w14:textId="77777777" w:rsidR="009A1B49" w:rsidRDefault="009A1B49">
            <w:pPr>
              <w:widowControl/>
              <w:spacing w:after="0" w:line="260" w:lineRule="exact"/>
              <w:jc w:val="center"/>
              <w:rPr>
                <w:rFonts w:ascii="Times New Roman" w:eastAsia="仿宋" w:hAnsi="Times New Roman" w:cs="Times New Roman"/>
                <w:sz w:val="21"/>
                <w:szCs w:val="21"/>
              </w:rPr>
            </w:pPr>
          </w:p>
        </w:tc>
        <w:tc>
          <w:tcPr>
            <w:tcW w:w="1985" w:type="dxa"/>
            <w:vAlign w:val="center"/>
          </w:tcPr>
          <w:p w14:paraId="3EA1E282" w14:textId="77777777" w:rsidR="009A1B49" w:rsidRDefault="009A1B49">
            <w:pPr>
              <w:widowControl/>
              <w:spacing w:after="0" w:line="260" w:lineRule="exact"/>
              <w:rPr>
                <w:rFonts w:ascii="Times New Roman" w:eastAsia="仿宋" w:hAnsi="Times New Roman" w:cs="Times New Roman"/>
                <w:sz w:val="21"/>
                <w:szCs w:val="21"/>
              </w:rPr>
            </w:pPr>
          </w:p>
        </w:tc>
      </w:tr>
      <w:tr w:rsidR="009A1B49" w14:paraId="09CB8EF3" w14:textId="77777777">
        <w:trPr>
          <w:trHeight w:val="423"/>
          <w:jc w:val="center"/>
        </w:trPr>
        <w:tc>
          <w:tcPr>
            <w:tcW w:w="1280" w:type="dxa"/>
            <w:vMerge/>
            <w:vAlign w:val="center"/>
          </w:tcPr>
          <w:p w14:paraId="0E6F92BC" w14:textId="77777777" w:rsidR="009A1B49" w:rsidRDefault="009A1B49">
            <w:pPr>
              <w:spacing w:after="0" w:line="260" w:lineRule="exact"/>
              <w:jc w:val="center"/>
              <w:rPr>
                <w:rFonts w:ascii="Times New Roman" w:eastAsia="仿宋" w:hAnsi="Times New Roman" w:cs="Times New Roman"/>
                <w:sz w:val="21"/>
                <w:szCs w:val="21"/>
              </w:rPr>
            </w:pPr>
          </w:p>
        </w:tc>
        <w:tc>
          <w:tcPr>
            <w:tcW w:w="708" w:type="dxa"/>
            <w:vAlign w:val="center"/>
          </w:tcPr>
          <w:p w14:paraId="695CEEDE" w14:textId="77777777" w:rsidR="009A1B49"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29</w:t>
            </w:r>
          </w:p>
        </w:tc>
        <w:tc>
          <w:tcPr>
            <w:tcW w:w="2551" w:type="dxa"/>
            <w:vAlign w:val="center"/>
          </w:tcPr>
          <w:p w14:paraId="2D4499CF" w14:textId="77777777" w:rsidR="009A1B49"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spacing w:val="-6"/>
                <w:kern w:val="0"/>
                <w:sz w:val="21"/>
                <w:szCs w:val="21"/>
                <w:lang w:bidi="ar"/>
              </w:rPr>
              <w:t>应急与处置风险：</w:t>
            </w:r>
            <w:r>
              <w:rPr>
                <w:rStyle w:val="font41"/>
                <w:rFonts w:hAnsi="宋体" w:hint="default"/>
                <w:spacing w:val="-6"/>
                <w:sz w:val="21"/>
                <w:szCs w:val="21"/>
                <w:lang w:bidi="ar"/>
              </w:rPr>
              <w:t>无辐射事故应急预案或未进行演练；放射源及设备报废时无符合国家规定的处置方案或回收协议；</w:t>
            </w:r>
            <w:proofErr w:type="gramStart"/>
            <w:r>
              <w:rPr>
                <w:rStyle w:val="font41"/>
                <w:rFonts w:hAnsi="宋体" w:hint="default"/>
                <w:spacing w:val="-6"/>
                <w:sz w:val="21"/>
                <w:szCs w:val="21"/>
                <w:lang w:bidi="ar"/>
              </w:rPr>
              <w:t>涉源实验</w:t>
            </w:r>
            <w:proofErr w:type="gramEnd"/>
            <w:r>
              <w:rPr>
                <w:rStyle w:val="font41"/>
                <w:rFonts w:hAnsi="宋体" w:hint="default"/>
                <w:spacing w:val="-6"/>
                <w:sz w:val="21"/>
                <w:szCs w:val="21"/>
                <w:lang w:bidi="ar"/>
              </w:rPr>
              <w:t>场所退役未按国家规定执行。</w:t>
            </w:r>
          </w:p>
        </w:tc>
        <w:tc>
          <w:tcPr>
            <w:tcW w:w="6237" w:type="dxa"/>
            <w:vAlign w:val="center"/>
          </w:tcPr>
          <w:p w14:paraId="3BCD67E7" w14:textId="77777777" w:rsidR="009A1B49"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）有辐射事故应急预案及应急演练记录。</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）中、长半衰期</w:t>
            </w:r>
            <w:proofErr w:type="gramStart"/>
            <w:r>
              <w:rPr>
                <w:rStyle w:val="font41"/>
                <w:rFonts w:hAnsi="宋体" w:hint="default"/>
                <w:sz w:val="21"/>
                <w:szCs w:val="21"/>
                <w:lang w:bidi="ar"/>
              </w:rPr>
              <w:t>核素固液废物</w:t>
            </w:r>
            <w:proofErr w:type="gramEnd"/>
            <w:r>
              <w:rPr>
                <w:rStyle w:val="font41"/>
                <w:rFonts w:hAnsi="宋体" w:hint="default"/>
                <w:sz w:val="21"/>
                <w:szCs w:val="21"/>
                <w:lang w:bidi="ar"/>
              </w:rPr>
              <w:t>有符合国家规定的处置方案或回收协议。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）报废含有放射源或可产生放射性的设备，须报学校管理部门同意，并按国家规定进行退役处置。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w:t>
            </w:r>
            <w:proofErr w:type="gramStart"/>
            <w:r>
              <w:rPr>
                <w:rStyle w:val="font41"/>
                <w:rFonts w:hAnsi="宋体" w:hint="default"/>
                <w:sz w:val="21"/>
                <w:szCs w:val="21"/>
                <w:lang w:bidi="ar"/>
              </w:rPr>
              <w:t>涉源实验</w:t>
            </w:r>
            <w:proofErr w:type="gramEnd"/>
            <w:r>
              <w:rPr>
                <w:rStyle w:val="font41"/>
                <w:rFonts w:hAnsi="宋体" w:hint="default"/>
                <w:sz w:val="21"/>
                <w:szCs w:val="21"/>
                <w:lang w:bidi="ar"/>
              </w:rPr>
              <w:t>场所退役，须按国家相关规定执行。</w:t>
            </w:r>
          </w:p>
        </w:tc>
        <w:tc>
          <w:tcPr>
            <w:tcW w:w="1985" w:type="dxa"/>
            <w:vAlign w:val="center"/>
          </w:tcPr>
          <w:p w14:paraId="5217CA41" w14:textId="77777777" w:rsidR="009A1B49" w:rsidRDefault="009A1B49">
            <w:pPr>
              <w:widowControl/>
              <w:spacing w:after="0" w:line="260" w:lineRule="exact"/>
              <w:jc w:val="center"/>
              <w:rPr>
                <w:rFonts w:ascii="Times New Roman" w:eastAsia="仿宋" w:hAnsi="Times New Roman" w:cs="Times New Roman"/>
                <w:sz w:val="21"/>
                <w:szCs w:val="21"/>
              </w:rPr>
            </w:pPr>
          </w:p>
        </w:tc>
        <w:tc>
          <w:tcPr>
            <w:tcW w:w="1985" w:type="dxa"/>
            <w:vAlign w:val="center"/>
          </w:tcPr>
          <w:p w14:paraId="75B7086F" w14:textId="77777777" w:rsidR="009A1B49" w:rsidRDefault="009A1B49">
            <w:pPr>
              <w:widowControl/>
              <w:spacing w:after="0" w:line="260" w:lineRule="exact"/>
              <w:rPr>
                <w:rFonts w:ascii="Times New Roman" w:eastAsia="仿宋" w:hAnsi="Times New Roman" w:cs="Times New Roman"/>
                <w:sz w:val="21"/>
                <w:szCs w:val="21"/>
              </w:rPr>
            </w:pPr>
          </w:p>
        </w:tc>
      </w:tr>
      <w:tr w:rsidR="009A1B49" w14:paraId="1CA88E41" w14:textId="77777777">
        <w:trPr>
          <w:trHeight w:val="1018"/>
          <w:jc w:val="center"/>
        </w:trPr>
        <w:tc>
          <w:tcPr>
            <w:tcW w:w="1280" w:type="dxa"/>
            <w:vMerge w:val="restart"/>
            <w:vAlign w:val="center"/>
          </w:tcPr>
          <w:p w14:paraId="6137C73C" w14:textId="77777777" w:rsidR="009A1B49"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【第五类】加热设备风险</w:t>
            </w:r>
          </w:p>
        </w:tc>
        <w:tc>
          <w:tcPr>
            <w:tcW w:w="708" w:type="dxa"/>
            <w:vAlign w:val="center"/>
          </w:tcPr>
          <w:p w14:paraId="33E32329" w14:textId="77777777" w:rsidR="009A1B49"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30</w:t>
            </w:r>
          </w:p>
        </w:tc>
        <w:tc>
          <w:tcPr>
            <w:tcW w:w="2551" w:type="dxa"/>
            <w:vAlign w:val="center"/>
          </w:tcPr>
          <w:p w14:paraId="2BC8B7FC" w14:textId="77777777" w:rsidR="009A1B49"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火灾风险：</w:t>
            </w:r>
            <w:r>
              <w:rPr>
                <w:rStyle w:val="font41"/>
                <w:rFonts w:hAnsi="宋体" w:hint="default"/>
                <w:sz w:val="21"/>
                <w:szCs w:val="21"/>
                <w:lang w:bidi="ar"/>
              </w:rPr>
              <w:t>烘箱、电阻炉、马弗炉、电热板、油浴锅等加热设备，若长时间超温运行、散热不良、线路老化，或设备旁堆放易燃易爆物品，极易引发火灾。</w:t>
            </w:r>
          </w:p>
        </w:tc>
        <w:tc>
          <w:tcPr>
            <w:tcW w:w="6237" w:type="dxa"/>
            <w:vAlign w:val="center"/>
          </w:tcPr>
          <w:p w14:paraId="4E46FB17" w14:textId="77777777" w:rsidR="009A1B49"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）设备旁不得放置易燃易爆物品。</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）设备使用完毕，清理物品、切断电源，确认其冷却至安全温度后方能离开。</w:t>
            </w:r>
          </w:p>
        </w:tc>
        <w:tc>
          <w:tcPr>
            <w:tcW w:w="1985" w:type="dxa"/>
            <w:vAlign w:val="center"/>
          </w:tcPr>
          <w:p w14:paraId="141B7235" w14:textId="77777777" w:rsidR="009A1B49" w:rsidRDefault="009A1B49">
            <w:pPr>
              <w:widowControl/>
              <w:spacing w:after="0" w:line="260" w:lineRule="exact"/>
              <w:jc w:val="center"/>
              <w:rPr>
                <w:rFonts w:ascii="Times New Roman" w:eastAsia="仿宋" w:hAnsi="Times New Roman" w:cs="Times New Roman"/>
                <w:sz w:val="21"/>
                <w:szCs w:val="21"/>
              </w:rPr>
            </w:pPr>
          </w:p>
        </w:tc>
        <w:tc>
          <w:tcPr>
            <w:tcW w:w="1985" w:type="dxa"/>
            <w:vAlign w:val="center"/>
          </w:tcPr>
          <w:p w14:paraId="7BF90E5A" w14:textId="77777777" w:rsidR="009A1B49" w:rsidRDefault="009A1B49">
            <w:pPr>
              <w:widowControl/>
              <w:spacing w:after="0" w:line="260" w:lineRule="exact"/>
              <w:rPr>
                <w:rFonts w:ascii="Times New Roman" w:eastAsia="仿宋" w:hAnsi="Times New Roman" w:cs="Times New Roman"/>
                <w:sz w:val="21"/>
                <w:szCs w:val="21"/>
              </w:rPr>
            </w:pPr>
          </w:p>
        </w:tc>
      </w:tr>
      <w:tr w:rsidR="009A1B49" w14:paraId="4F621332" w14:textId="77777777">
        <w:trPr>
          <w:trHeight w:val="715"/>
          <w:jc w:val="center"/>
        </w:trPr>
        <w:tc>
          <w:tcPr>
            <w:tcW w:w="1280" w:type="dxa"/>
            <w:vMerge/>
            <w:vAlign w:val="center"/>
          </w:tcPr>
          <w:p w14:paraId="09661B53" w14:textId="77777777" w:rsidR="009A1B49" w:rsidRDefault="009A1B49">
            <w:pPr>
              <w:spacing w:after="0" w:line="260" w:lineRule="exact"/>
              <w:jc w:val="center"/>
              <w:rPr>
                <w:rFonts w:ascii="Times New Roman" w:eastAsia="仿宋" w:hAnsi="Times New Roman" w:cs="Times New Roman"/>
                <w:sz w:val="21"/>
                <w:szCs w:val="21"/>
              </w:rPr>
            </w:pPr>
          </w:p>
        </w:tc>
        <w:tc>
          <w:tcPr>
            <w:tcW w:w="708" w:type="dxa"/>
            <w:vAlign w:val="center"/>
          </w:tcPr>
          <w:p w14:paraId="2D32EC1C" w14:textId="77777777" w:rsidR="009A1B49"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31</w:t>
            </w:r>
          </w:p>
        </w:tc>
        <w:tc>
          <w:tcPr>
            <w:tcW w:w="2551" w:type="dxa"/>
            <w:vAlign w:val="center"/>
          </w:tcPr>
          <w:p w14:paraId="1598C76A" w14:textId="77777777" w:rsidR="009A1B49"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烫伤风险：</w:t>
            </w:r>
            <w:r>
              <w:rPr>
                <w:rStyle w:val="font41"/>
                <w:rFonts w:hAnsi="宋体" w:hint="default"/>
                <w:sz w:val="21"/>
                <w:szCs w:val="21"/>
                <w:lang w:bidi="ar"/>
              </w:rPr>
              <w:t>设备表面温度高，人员误触或操作不当（如未使用隔热工具）可能造成严重烫伤。</w:t>
            </w:r>
          </w:p>
        </w:tc>
        <w:tc>
          <w:tcPr>
            <w:tcW w:w="6237" w:type="dxa"/>
            <w:vAlign w:val="center"/>
          </w:tcPr>
          <w:p w14:paraId="2126EDCC" w14:textId="77777777" w:rsidR="009A1B49"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）设备周边醒目位置张贴高温警示标志，并有必要的防护措施。</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）按需要佩戴防护眼镜、防护手套等。</w:t>
            </w:r>
          </w:p>
        </w:tc>
        <w:tc>
          <w:tcPr>
            <w:tcW w:w="1985" w:type="dxa"/>
            <w:vAlign w:val="center"/>
          </w:tcPr>
          <w:p w14:paraId="6D7D7F1A" w14:textId="77777777" w:rsidR="009A1B49" w:rsidRDefault="009A1B49">
            <w:pPr>
              <w:widowControl/>
              <w:spacing w:after="0" w:line="260" w:lineRule="exact"/>
              <w:jc w:val="center"/>
              <w:rPr>
                <w:rFonts w:ascii="Times New Roman" w:eastAsia="仿宋" w:hAnsi="Times New Roman" w:cs="Times New Roman"/>
                <w:sz w:val="21"/>
                <w:szCs w:val="21"/>
              </w:rPr>
            </w:pPr>
          </w:p>
        </w:tc>
        <w:tc>
          <w:tcPr>
            <w:tcW w:w="1985" w:type="dxa"/>
            <w:vAlign w:val="center"/>
          </w:tcPr>
          <w:p w14:paraId="0281FA0A" w14:textId="77777777" w:rsidR="009A1B49" w:rsidRDefault="009A1B49">
            <w:pPr>
              <w:widowControl/>
              <w:spacing w:after="0" w:line="260" w:lineRule="exact"/>
              <w:rPr>
                <w:rFonts w:ascii="Times New Roman" w:eastAsia="仿宋" w:hAnsi="Times New Roman" w:cs="Times New Roman"/>
                <w:sz w:val="21"/>
                <w:szCs w:val="21"/>
              </w:rPr>
            </w:pPr>
          </w:p>
        </w:tc>
      </w:tr>
      <w:tr w:rsidR="009A1B49" w14:paraId="7F95CF6F" w14:textId="77777777">
        <w:trPr>
          <w:trHeight w:val="734"/>
          <w:jc w:val="center"/>
        </w:trPr>
        <w:tc>
          <w:tcPr>
            <w:tcW w:w="1280" w:type="dxa"/>
            <w:vMerge/>
            <w:vAlign w:val="center"/>
          </w:tcPr>
          <w:p w14:paraId="00873C89" w14:textId="77777777" w:rsidR="009A1B49" w:rsidRDefault="009A1B49">
            <w:pPr>
              <w:spacing w:after="0" w:line="260" w:lineRule="exact"/>
              <w:jc w:val="center"/>
              <w:rPr>
                <w:rFonts w:ascii="Times New Roman" w:eastAsia="仿宋" w:hAnsi="Times New Roman" w:cs="Times New Roman"/>
                <w:sz w:val="21"/>
                <w:szCs w:val="21"/>
              </w:rPr>
            </w:pPr>
          </w:p>
        </w:tc>
        <w:tc>
          <w:tcPr>
            <w:tcW w:w="708" w:type="dxa"/>
            <w:vAlign w:val="center"/>
          </w:tcPr>
          <w:p w14:paraId="5F2A164E" w14:textId="77777777" w:rsidR="009A1B49"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32</w:t>
            </w:r>
          </w:p>
        </w:tc>
        <w:tc>
          <w:tcPr>
            <w:tcW w:w="2551" w:type="dxa"/>
            <w:vAlign w:val="center"/>
          </w:tcPr>
          <w:p w14:paraId="6CA69390" w14:textId="77777777" w:rsidR="009A1B49"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爆炸风险：</w:t>
            </w:r>
            <w:r>
              <w:rPr>
                <w:rStyle w:val="font41"/>
                <w:rFonts w:hAnsi="宋体" w:hint="default"/>
                <w:sz w:val="21"/>
                <w:szCs w:val="21"/>
                <w:lang w:bidi="ar"/>
              </w:rPr>
              <w:t>将易燃易爆试剂或物品（如易燃溶剂、塑料、纸制品）放入烘箱等密闭加热设备中烘烤，可能引发爆炸。</w:t>
            </w:r>
          </w:p>
        </w:tc>
        <w:tc>
          <w:tcPr>
            <w:tcW w:w="6237" w:type="dxa"/>
            <w:vAlign w:val="center"/>
          </w:tcPr>
          <w:p w14:paraId="4D77EFD3" w14:textId="77777777" w:rsidR="009A1B49"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）烘箱等加热设备内不准烘烤易燃易爆试剂及易燃物品。</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）不得使用塑料筐等易燃容器盛放实验物品在烘箱等加热设备内烘烤。</w:t>
            </w:r>
          </w:p>
        </w:tc>
        <w:tc>
          <w:tcPr>
            <w:tcW w:w="1985" w:type="dxa"/>
            <w:vAlign w:val="center"/>
          </w:tcPr>
          <w:p w14:paraId="0D385CE1" w14:textId="77777777" w:rsidR="009A1B49" w:rsidRDefault="009A1B49">
            <w:pPr>
              <w:widowControl/>
              <w:spacing w:after="0" w:line="260" w:lineRule="exact"/>
              <w:jc w:val="center"/>
              <w:rPr>
                <w:rFonts w:ascii="Times New Roman" w:eastAsia="仿宋" w:hAnsi="Times New Roman" w:cs="Times New Roman"/>
                <w:sz w:val="21"/>
                <w:szCs w:val="21"/>
              </w:rPr>
            </w:pPr>
          </w:p>
        </w:tc>
        <w:tc>
          <w:tcPr>
            <w:tcW w:w="1985" w:type="dxa"/>
            <w:vAlign w:val="center"/>
          </w:tcPr>
          <w:p w14:paraId="464FD471" w14:textId="77777777" w:rsidR="009A1B49" w:rsidRDefault="009A1B49">
            <w:pPr>
              <w:widowControl/>
              <w:spacing w:after="0" w:line="260" w:lineRule="exact"/>
              <w:rPr>
                <w:rFonts w:ascii="Times New Roman" w:eastAsia="仿宋" w:hAnsi="Times New Roman" w:cs="Times New Roman"/>
                <w:sz w:val="21"/>
                <w:szCs w:val="21"/>
              </w:rPr>
            </w:pPr>
          </w:p>
        </w:tc>
      </w:tr>
      <w:tr w:rsidR="009A1B49" w14:paraId="79894F7E" w14:textId="77777777">
        <w:trPr>
          <w:trHeight w:val="1485"/>
          <w:jc w:val="center"/>
        </w:trPr>
        <w:tc>
          <w:tcPr>
            <w:tcW w:w="1280" w:type="dxa"/>
            <w:vMerge/>
            <w:vAlign w:val="center"/>
          </w:tcPr>
          <w:p w14:paraId="3143D41B" w14:textId="77777777" w:rsidR="009A1B49" w:rsidRDefault="009A1B49">
            <w:pPr>
              <w:spacing w:after="0" w:line="260" w:lineRule="exact"/>
              <w:jc w:val="center"/>
              <w:rPr>
                <w:rFonts w:ascii="Times New Roman" w:eastAsia="仿宋" w:hAnsi="Times New Roman" w:cs="Times New Roman"/>
                <w:sz w:val="21"/>
                <w:szCs w:val="21"/>
              </w:rPr>
            </w:pPr>
          </w:p>
        </w:tc>
        <w:tc>
          <w:tcPr>
            <w:tcW w:w="708" w:type="dxa"/>
            <w:vAlign w:val="center"/>
          </w:tcPr>
          <w:p w14:paraId="122CD02D" w14:textId="77777777" w:rsidR="009A1B49"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33</w:t>
            </w:r>
          </w:p>
        </w:tc>
        <w:tc>
          <w:tcPr>
            <w:tcW w:w="2551" w:type="dxa"/>
            <w:vAlign w:val="center"/>
          </w:tcPr>
          <w:p w14:paraId="5C3B02F2" w14:textId="77777777" w:rsidR="009A1B49"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操作过程风险：</w:t>
            </w:r>
            <w:r>
              <w:rPr>
                <w:rStyle w:val="font41"/>
                <w:rFonts w:hAnsi="宋体" w:hint="default"/>
                <w:sz w:val="21"/>
                <w:szCs w:val="21"/>
                <w:lang w:bidi="ar"/>
              </w:rPr>
              <w:t>未制定加热设备的安全操作规程；使用加热设备时，人员离开现场，特别是使用明火电炉或进行高温实验时无人值守。</w:t>
            </w:r>
          </w:p>
        </w:tc>
        <w:tc>
          <w:tcPr>
            <w:tcW w:w="6237" w:type="dxa"/>
            <w:vAlign w:val="center"/>
          </w:tcPr>
          <w:p w14:paraId="5EECEB62" w14:textId="77777777" w:rsidR="009A1B49"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）张贴有安全操作规程、警示标志。</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）使用电阻炉等明火设备时经过审批并有人值守。</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）使用加热设备时，温度较高的实验</w:t>
            </w:r>
            <w:proofErr w:type="gramStart"/>
            <w:r>
              <w:rPr>
                <w:rStyle w:val="font41"/>
                <w:rFonts w:hAnsi="宋体" w:hint="default"/>
                <w:sz w:val="21"/>
                <w:szCs w:val="21"/>
                <w:lang w:bidi="ar"/>
              </w:rPr>
              <w:t>须有人</w:t>
            </w:r>
            <w:proofErr w:type="gramEnd"/>
            <w:r>
              <w:rPr>
                <w:rStyle w:val="font41"/>
                <w:rFonts w:hAnsi="宋体" w:hint="default"/>
                <w:sz w:val="21"/>
                <w:szCs w:val="21"/>
                <w:lang w:bidi="ar"/>
              </w:rPr>
              <w:t>值守或有实时监控措施。</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）危险实验时不能脱岗。</w:t>
            </w:r>
          </w:p>
        </w:tc>
        <w:tc>
          <w:tcPr>
            <w:tcW w:w="1985" w:type="dxa"/>
            <w:vAlign w:val="center"/>
          </w:tcPr>
          <w:p w14:paraId="420EF6E7" w14:textId="77777777" w:rsidR="009A1B49" w:rsidRDefault="009A1B49">
            <w:pPr>
              <w:widowControl/>
              <w:spacing w:after="0" w:line="260" w:lineRule="exact"/>
              <w:jc w:val="center"/>
              <w:rPr>
                <w:rFonts w:ascii="Times New Roman" w:eastAsia="仿宋" w:hAnsi="Times New Roman" w:cs="Times New Roman"/>
                <w:sz w:val="21"/>
                <w:szCs w:val="21"/>
              </w:rPr>
            </w:pPr>
          </w:p>
        </w:tc>
        <w:tc>
          <w:tcPr>
            <w:tcW w:w="1985" w:type="dxa"/>
            <w:vAlign w:val="center"/>
          </w:tcPr>
          <w:p w14:paraId="5322CFC3" w14:textId="77777777" w:rsidR="009A1B49" w:rsidRDefault="009A1B49">
            <w:pPr>
              <w:widowControl/>
              <w:spacing w:after="0" w:line="260" w:lineRule="exact"/>
              <w:rPr>
                <w:rFonts w:ascii="Times New Roman" w:eastAsia="仿宋" w:hAnsi="Times New Roman" w:cs="Times New Roman"/>
                <w:sz w:val="21"/>
                <w:szCs w:val="21"/>
              </w:rPr>
            </w:pPr>
          </w:p>
        </w:tc>
      </w:tr>
      <w:tr w:rsidR="009A1B49" w14:paraId="151F5684" w14:textId="77777777">
        <w:trPr>
          <w:trHeight w:val="65"/>
          <w:jc w:val="center"/>
        </w:trPr>
        <w:tc>
          <w:tcPr>
            <w:tcW w:w="1280" w:type="dxa"/>
            <w:vMerge/>
            <w:vAlign w:val="center"/>
          </w:tcPr>
          <w:p w14:paraId="23BB84F1" w14:textId="77777777" w:rsidR="009A1B49" w:rsidRDefault="009A1B49">
            <w:pPr>
              <w:spacing w:after="0" w:line="260" w:lineRule="exact"/>
              <w:jc w:val="center"/>
              <w:rPr>
                <w:rFonts w:ascii="Times New Roman" w:eastAsia="仿宋" w:hAnsi="Times New Roman" w:cs="Times New Roman"/>
                <w:sz w:val="21"/>
                <w:szCs w:val="21"/>
              </w:rPr>
            </w:pPr>
          </w:p>
        </w:tc>
        <w:tc>
          <w:tcPr>
            <w:tcW w:w="708" w:type="dxa"/>
            <w:vAlign w:val="center"/>
          </w:tcPr>
          <w:p w14:paraId="6BE7E83E" w14:textId="77777777" w:rsidR="009A1B49"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34</w:t>
            </w:r>
          </w:p>
        </w:tc>
        <w:tc>
          <w:tcPr>
            <w:tcW w:w="2551" w:type="dxa"/>
            <w:vAlign w:val="center"/>
          </w:tcPr>
          <w:p w14:paraId="3AC5726F" w14:textId="77777777" w:rsidR="009A1B49"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超期使用风险：</w:t>
            </w:r>
            <w:r>
              <w:rPr>
                <w:rStyle w:val="font41"/>
                <w:rFonts w:hAnsi="宋体" w:hint="default"/>
                <w:sz w:val="21"/>
                <w:szCs w:val="21"/>
                <w:lang w:bidi="ar"/>
              </w:rPr>
              <w:t>烘箱、电阻炉等设备超期服役，未定期维护保养和检查。</w:t>
            </w:r>
          </w:p>
        </w:tc>
        <w:tc>
          <w:tcPr>
            <w:tcW w:w="6237" w:type="dxa"/>
            <w:vAlign w:val="center"/>
          </w:tcPr>
          <w:p w14:paraId="43C3D2FB" w14:textId="77777777" w:rsidR="009A1B49"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）烘箱、电阻炉</w:t>
            </w:r>
            <w:proofErr w:type="gramStart"/>
            <w:r>
              <w:rPr>
                <w:rStyle w:val="font41"/>
                <w:rFonts w:hAnsi="宋体" w:hint="default"/>
                <w:sz w:val="21"/>
                <w:szCs w:val="21"/>
                <w:lang w:bidi="ar"/>
              </w:rPr>
              <w:t>不</w:t>
            </w:r>
            <w:proofErr w:type="gramEnd"/>
            <w:r>
              <w:rPr>
                <w:rStyle w:val="font41"/>
                <w:rFonts w:hAnsi="宋体" w:hint="default"/>
                <w:sz w:val="21"/>
                <w:szCs w:val="21"/>
                <w:lang w:bidi="ar"/>
              </w:rPr>
              <w:t>超期使用，如超期使用须经审批。</w:t>
            </w:r>
          </w:p>
        </w:tc>
        <w:tc>
          <w:tcPr>
            <w:tcW w:w="1985" w:type="dxa"/>
            <w:vAlign w:val="center"/>
          </w:tcPr>
          <w:p w14:paraId="4A81CC09" w14:textId="77777777" w:rsidR="009A1B49" w:rsidRDefault="009A1B49">
            <w:pPr>
              <w:widowControl/>
              <w:spacing w:after="0" w:line="260" w:lineRule="exact"/>
              <w:jc w:val="center"/>
              <w:rPr>
                <w:rFonts w:ascii="Times New Roman" w:eastAsia="仿宋" w:hAnsi="Times New Roman" w:cs="Times New Roman"/>
                <w:sz w:val="21"/>
                <w:szCs w:val="21"/>
              </w:rPr>
            </w:pPr>
          </w:p>
        </w:tc>
        <w:tc>
          <w:tcPr>
            <w:tcW w:w="1985" w:type="dxa"/>
            <w:vAlign w:val="center"/>
          </w:tcPr>
          <w:p w14:paraId="707D61D7" w14:textId="77777777" w:rsidR="009A1B49" w:rsidRDefault="009A1B49">
            <w:pPr>
              <w:widowControl/>
              <w:spacing w:after="0" w:line="260" w:lineRule="exact"/>
              <w:rPr>
                <w:rFonts w:ascii="Times New Roman" w:eastAsia="仿宋" w:hAnsi="Times New Roman" w:cs="Times New Roman"/>
                <w:sz w:val="21"/>
                <w:szCs w:val="21"/>
              </w:rPr>
            </w:pPr>
          </w:p>
        </w:tc>
      </w:tr>
      <w:tr w:rsidR="009A1B49" w14:paraId="00DC112A" w14:textId="77777777">
        <w:trPr>
          <w:trHeight w:val="1963"/>
          <w:jc w:val="center"/>
        </w:trPr>
        <w:tc>
          <w:tcPr>
            <w:tcW w:w="1280" w:type="dxa"/>
            <w:vMerge w:val="restart"/>
            <w:vAlign w:val="center"/>
          </w:tcPr>
          <w:p w14:paraId="6E46BE86" w14:textId="77777777" w:rsidR="009A1B49"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【第六类】制冷设备风险</w:t>
            </w:r>
          </w:p>
        </w:tc>
        <w:tc>
          <w:tcPr>
            <w:tcW w:w="708" w:type="dxa"/>
            <w:vAlign w:val="center"/>
          </w:tcPr>
          <w:p w14:paraId="2B07F9D7" w14:textId="77777777" w:rsidR="009A1B49"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35</w:t>
            </w:r>
          </w:p>
        </w:tc>
        <w:tc>
          <w:tcPr>
            <w:tcW w:w="2551" w:type="dxa"/>
            <w:vAlign w:val="center"/>
          </w:tcPr>
          <w:p w14:paraId="6C087AF4" w14:textId="77777777" w:rsidR="009A1B49"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爆炸风险：</w:t>
            </w:r>
            <w:r>
              <w:rPr>
                <w:rStyle w:val="font41"/>
                <w:rFonts w:hAnsi="宋体" w:hint="default"/>
                <w:sz w:val="21"/>
                <w:szCs w:val="21"/>
                <w:lang w:bidi="ar"/>
              </w:rPr>
              <w:t>普通冰箱（非防爆）内部电气元件（如温控器、照明灯、开关）在开关时可能产生火花。若在冰箱内存放易燃易爆化学品（如乙醚、丙酮），其挥发</w:t>
            </w:r>
            <w:proofErr w:type="gramStart"/>
            <w:r>
              <w:rPr>
                <w:rStyle w:val="font41"/>
                <w:rFonts w:hAnsi="宋体" w:hint="default"/>
                <w:sz w:val="21"/>
                <w:szCs w:val="21"/>
                <w:lang w:bidi="ar"/>
              </w:rPr>
              <w:t>蒸气</w:t>
            </w:r>
            <w:proofErr w:type="gramEnd"/>
            <w:r>
              <w:rPr>
                <w:rStyle w:val="font41"/>
                <w:rFonts w:hAnsi="宋体" w:hint="default"/>
                <w:sz w:val="21"/>
                <w:szCs w:val="21"/>
                <w:lang w:bidi="ar"/>
              </w:rPr>
              <w:t>遇火花可能引发爆炸。</w:t>
            </w:r>
          </w:p>
        </w:tc>
        <w:tc>
          <w:tcPr>
            <w:tcW w:w="6237" w:type="dxa"/>
            <w:vAlign w:val="center"/>
          </w:tcPr>
          <w:p w14:paraId="1C61D848" w14:textId="77777777" w:rsidR="009A1B49"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）贮存危险化学品的冰箱应为</w:t>
            </w:r>
            <w:proofErr w:type="gramStart"/>
            <w:r>
              <w:rPr>
                <w:rStyle w:val="font41"/>
                <w:rFonts w:hAnsi="宋体" w:hint="default"/>
                <w:sz w:val="21"/>
                <w:szCs w:val="21"/>
                <w:lang w:bidi="ar"/>
              </w:rPr>
              <w:t>防爆冰箱</w:t>
            </w:r>
            <w:proofErr w:type="gramEnd"/>
            <w:r>
              <w:rPr>
                <w:rStyle w:val="font41"/>
                <w:rFonts w:hAnsi="宋体" w:hint="default"/>
                <w:sz w:val="21"/>
                <w:szCs w:val="21"/>
                <w:lang w:bidi="ar"/>
              </w:rPr>
              <w:t>或经过防爆改造，并在冰箱门上注明是否防爆。</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）实验室冰箱中试剂瓶螺口拧紧，无开口容器。</w:t>
            </w:r>
          </w:p>
        </w:tc>
        <w:tc>
          <w:tcPr>
            <w:tcW w:w="1985" w:type="dxa"/>
            <w:vAlign w:val="center"/>
          </w:tcPr>
          <w:p w14:paraId="70B2FC86" w14:textId="77777777" w:rsidR="009A1B49" w:rsidRDefault="009A1B49">
            <w:pPr>
              <w:widowControl/>
              <w:spacing w:after="0" w:line="260" w:lineRule="exact"/>
              <w:jc w:val="center"/>
              <w:rPr>
                <w:rFonts w:ascii="Times New Roman" w:eastAsia="仿宋" w:hAnsi="Times New Roman" w:cs="Times New Roman"/>
                <w:sz w:val="21"/>
                <w:szCs w:val="21"/>
              </w:rPr>
            </w:pPr>
          </w:p>
        </w:tc>
        <w:tc>
          <w:tcPr>
            <w:tcW w:w="1985" w:type="dxa"/>
            <w:vAlign w:val="center"/>
          </w:tcPr>
          <w:p w14:paraId="1D8E8DA1" w14:textId="77777777" w:rsidR="009A1B49" w:rsidRDefault="009A1B49">
            <w:pPr>
              <w:widowControl/>
              <w:spacing w:after="0" w:line="260" w:lineRule="exact"/>
              <w:rPr>
                <w:rFonts w:ascii="Times New Roman" w:eastAsia="仿宋" w:hAnsi="Times New Roman" w:cs="Times New Roman"/>
                <w:sz w:val="21"/>
                <w:szCs w:val="21"/>
              </w:rPr>
            </w:pPr>
          </w:p>
        </w:tc>
      </w:tr>
      <w:tr w:rsidR="009A1B49" w14:paraId="7A7FA272" w14:textId="77777777">
        <w:trPr>
          <w:trHeight w:val="533"/>
          <w:jc w:val="center"/>
        </w:trPr>
        <w:tc>
          <w:tcPr>
            <w:tcW w:w="1280" w:type="dxa"/>
            <w:vMerge/>
            <w:vAlign w:val="center"/>
          </w:tcPr>
          <w:p w14:paraId="158B2A2A" w14:textId="77777777" w:rsidR="009A1B49" w:rsidRDefault="009A1B49">
            <w:pPr>
              <w:spacing w:after="0" w:line="260" w:lineRule="exact"/>
              <w:jc w:val="center"/>
              <w:rPr>
                <w:rFonts w:ascii="Times New Roman" w:eastAsia="仿宋" w:hAnsi="Times New Roman" w:cs="Times New Roman"/>
                <w:sz w:val="21"/>
                <w:szCs w:val="21"/>
              </w:rPr>
            </w:pPr>
          </w:p>
        </w:tc>
        <w:tc>
          <w:tcPr>
            <w:tcW w:w="708" w:type="dxa"/>
            <w:vAlign w:val="center"/>
          </w:tcPr>
          <w:p w14:paraId="16DD3FB0" w14:textId="77777777" w:rsidR="009A1B49"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36</w:t>
            </w:r>
          </w:p>
        </w:tc>
        <w:tc>
          <w:tcPr>
            <w:tcW w:w="2551" w:type="dxa"/>
            <w:vAlign w:val="center"/>
          </w:tcPr>
          <w:p w14:paraId="40E10B48" w14:textId="77777777" w:rsidR="009A1B49"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冻伤风险：</w:t>
            </w:r>
            <w:r>
              <w:rPr>
                <w:rStyle w:val="font41"/>
                <w:rFonts w:hAnsi="宋体" w:hint="default"/>
                <w:sz w:val="21"/>
                <w:szCs w:val="21"/>
                <w:lang w:bidi="ar"/>
              </w:rPr>
              <w:t>接触制冷设备（如超低温冰箱、液氮罐）的低温表面或内容物（如液氮、冻存管），可能造成皮肤冻伤。</w:t>
            </w:r>
          </w:p>
        </w:tc>
        <w:tc>
          <w:tcPr>
            <w:tcW w:w="6237" w:type="dxa"/>
            <w:vAlign w:val="center"/>
          </w:tcPr>
          <w:p w14:paraId="147A9E2A" w14:textId="77777777" w:rsidR="009A1B49"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）定期开展应急知识学习、应急处置培训和应急演练。</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）按需要佩戴防护眼镜、防护手套等。</w:t>
            </w:r>
          </w:p>
        </w:tc>
        <w:tc>
          <w:tcPr>
            <w:tcW w:w="1985" w:type="dxa"/>
            <w:vAlign w:val="center"/>
          </w:tcPr>
          <w:p w14:paraId="3F127AB0" w14:textId="77777777" w:rsidR="009A1B49" w:rsidRDefault="009A1B49">
            <w:pPr>
              <w:widowControl/>
              <w:spacing w:after="0" w:line="260" w:lineRule="exact"/>
              <w:jc w:val="center"/>
              <w:rPr>
                <w:rFonts w:ascii="Times New Roman" w:eastAsia="仿宋" w:hAnsi="Times New Roman" w:cs="Times New Roman"/>
                <w:sz w:val="21"/>
                <w:szCs w:val="21"/>
              </w:rPr>
            </w:pPr>
          </w:p>
        </w:tc>
        <w:tc>
          <w:tcPr>
            <w:tcW w:w="1985" w:type="dxa"/>
            <w:vAlign w:val="center"/>
          </w:tcPr>
          <w:p w14:paraId="42F98C14" w14:textId="77777777" w:rsidR="009A1B49" w:rsidRDefault="009A1B49">
            <w:pPr>
              <w:widowControl/>
              <w:spacing w:after="0" w:line="260" w:lineRule="exact"/>
              <w:rPr>
                <w:rFonts w:ascii="Times New Roman" w:eastAsia="仿宋" w:hAnsi="Times New Roman" w:cs="Times New Roman"/>
                <w:sz w:val="21"/>
                <w:szCs w:val="21"/>
              </w:rPr>
            </w:pPr>
          </w:p>
        </w:tc>
      </w:tr>
      <w:tr w:rsidR="009A1B49" w14:paraId="75F46EAC" w14:textId="77777777">
        <w:trPr>
          <w:trHeight w:val="1035"/>
          <w:jc w:val="center"/>
        </w:trPr>
        <w:tc>
          <w:tcPr>
            <w:tcW w:w="1280" w:type="dxa"/>
            <w:vMerge/>
            <w:vAlign w:val="center"/>
          </w:tcPr>
          <w:p w14:paraId="0D87DEB0" w14:textId="77777777" w:rsidR="009A1B49" w:rsidRDefault="009A1B49">
            <w:pPr>
              <w:spacing w:after="0" w:line="260" w:lineRule="exact"/>
              <w:jc w:val="center"/>
              <w:rPr>
                <w:rFonts w:ascii="Times New Roman" w:eastAsia="仿宋" w:hAnsi="Times New Roman" w:cs="Times New Roman"/>
                <w:sz w:val="21"/>
                <w:szCs w:val="21"/>
              </w:rPr>
            </w:pPr>
          </w:p>
        </w:tc>
        <w:tc>
          <w:tcPr>
            <w:tcW w:w="708" w:type="dxa"/>
            <w:vAlign w:val="center"/>
          </w:tcPr>
          <w:p w14:paraId="3076AF60" w14:textId="77777777" w:rsidR="009A1B49"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37</w:t>
            </w:r>
          </w:p>
        </w:tc>
        <w:tc>
          <w:tcPr>
            <w:tcW w:w="2551" w:type="dxa"/>
            <w:vAlign w:val="center"/>
          </w:tcPr>
          <w:p w14:paraId="5432BA82" w14:textId="77777777" w:rsidR="009A1B49"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窒息风险：</w:t>
            </w:r>
            <w:r>
              <w:rPr>
                <w:rStyle w:val="font41"/>
                <w:rFonts w:hAnsi="宋体" w:hint="default"/>
                <w:sz w:val="21"/>
                <w:szCs w:val="21"/>
                <w:lang w:bidi="ar"/>
              </w:rPr>
              <w:t>使用液氮、</w:t>
            </w:r>
            <w:proofErr w:type="gramStart"/>
            <w:r>
              <w:rPr>
                <w:rStyle w:val="font41"/>
                <w:rFonts w:hAnsi="宋体" w:hint="default"/>
                <w:sz w:val="21"/>
                <w:szCs w:val="21"/>
                <w:lang w:bidi="ar"/>
              </w:rPr>
              <w:t>液氩等液化气体</w:t>
            </w:r>
            <w:proofErr w:type="gramEnd"/>
            <w:r>
              <w:rPr>
                <w:rStyle w:val="font41"/>
                <w:rFonts w:hAnsi="宋体" w:hint="default"/>
                <w:sz w:val="21"/>
                <w:szCs w:val="21"/>
                <w:lang w:bidi="ar"/>
              </w:rPr>
              <w:t>在密闭或通风不良的小空间内大量泄漏，会迅速气化，置换空气中的氧气，导致人员缺氧窒息。</w:t>
            </w:r>
          </w:p>
        </w:tc>
        <w:tc>
          <w:tcPr>
            <w:tcW w:w="6237" w:type="dxa"/>
            <w:vAlign w:val="center"/>
          </w:tcPr>
          <w:p w14:paraId="3929F5C1" w14:textId="77777777" w:rsidR="009A1B49"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）定期开展应急知识学习、应急处置培训和应急演练。</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）存有大量无毒窒息性压缩气体或液化气体的较小密闭空间，须安装氧含量监测报警装置。</w:t>
            </w:r>
          </w:p>
        </w:tc>
        <w:tc>
          <w:tcPr>
            <w:tcW w:w="1985" w:type="dxa"/>
            <w:vAlign w:val="center"/>
          </w:tcPr>
          <w:p w14:paraId="19C5AF81" w14:textId="77777777" w:rsidR="009A1B49" w:rsidRDefault="009A1B49">
            <w:pPr>
              <w:widowControl/>
              <w:spacing w:after="0" w:line="260" w:lineRule="exact"/>
              <w:jc w:val="center"/>
              <w:rPr>
                <w:rFonts w:ascii="Times New Roman" w:eastAsia="仿宋" w:hAnsi="Times New Roman" w:cs="Times New Roman"/>
                <w:sz w:val="21"/>
                <w:szCs w:val="21"/>
              </w:rPr>
            </w:pPr>
          </w:p>
        </w:tc>
        <w:tc>
          <w:tcPr>
            <w:tcW w:w="1985" w:type="dxa"/>
            <w:vAlign w:val="center"/>
          </w:tcPr>
          <w:p w14:paraId="4FEA98CA" w14:textId="77777777" w:rsidR="009A1B49" w:rsidRDefault="009A1B49">
            <w:pPr>
              <w:widowControl/>
              <w:spacing w:after="0" w:line="260" w:lineRule="exact"/>
              <w:rPr>
                <w:rFonts w:ascii="Times New Roman" w:eastAsia="仿宋" w:hAnsi="Times New Roman" w:cs="Times New Roman"/>
                <w:sz w:val="21"/>
                <w:szCs w:val="21"/>
              </w:rPr>
            </w:pPr>
          </w:p>
        </w:tc>
      </w:tr>
      <w:tr w:rsidR="009A1B49" w14:paraId="39F69BEC" w14:textId="77777777">
        <w:trPr>
          <w:trHeight w:val="915"/>
          <w:jc w:val="center"/>
        </w:trPr>
        <w:tc>
          <w:tcPr>
            <w:tcW w:w="1280" w:type="dxa"/>
            <w:vMerge/>
            <w:vAlign w:val="center"/>
          </w:tcPr>
          <w:p w14:paraId="3D46AEE6" w14:textId="77777777" w:rsidR="009A1B49" w:rsidRDefault="009A1B49">
            <w:pPr>
              <w:spacing w:after="0" w:line="260" w:lineRule="exact"/>
              <w:jc w:val="center"/>
              <w:rPr>
                <w:rFonts w:ascii="Times New Roman" w:eastAsia="仿宋" w:hAnsi="Times New Roman" w:cs="Times New Roman"/>
                <w:sz w:val="21"/>
                <w:szCs w:val="21"/>
              </w:rPr>
            </w:pPr>
          </w:p>
        </w:tc>
        <w:tc>
          <w:tcPr>
            <w:tcW w:w="708" w:type="dxa"/>
            <w:vAlign w:val="center"/>
          </w:tcPr>
          <w:p w14:paraId="5BB0957B" w14:textId="77777777" w:rsidR="009A1B49"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38</w:t>
            </w:r>
          </w:p>
        </w:tc>
        <w:tc>
          <w:tcPr>
            <w:tcW w:w="2551" w:type="dxa"/>
            <w:vAlign w:val="center"/>
          </w:tcPr>
          <w:p w14:paraId="2063670D" w14:textId="77777777" w:rsidR="009A1B49"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超期使用风险：</w:t>
            </w:r>
            <w:r>
              <w:rPr>
                <w:rStyle w:val="font41"/>
                <w:rFonts w:hAnsi="宋体" w:hint="default"/>
                <w:sz w:val="21"/>
                <w:szCs w:val="21"/>
                <w:lang w:bidi="ar"/>
              </w:rPr>
              <w:t>冰箱超期使用，设备老化，能耗增加，制冷效率下降，安全隐患（如线路老化、温控失灵）增大。</w:t>
            </w:r>
          </w:p>
        </w:tc>
        <w:tc>
          <w:tcPr>
            <w:tcW w:w="6237" w:type="dxa"/>
            <w:vAlign w:val="center"/>
          </w:tcPr>
          <w:p w14:paraId="20752F9F" w14:textId="77777777" w:rsidR="009A1B49"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）冰箱</w:t>
            </w:r>
            <w:proofErr w:type="gramStart"/>
            <w:r>
              <w:rPr>
                <w:rStyle w:val="font41"/>
                <w:rFonts w:hAnsi="宋体" w:hint="default"/>
                <w:sz w:val="21"/>
                <w:szCs w:val="21"/>
                <w:lang w:bidi="ar"/>
              </w:rPr>
              <w:t>不</w:t>
            </w:r>
            <w:proofErr w:type="gramEnd"/>
            <w:r>
              <w:rPr>
                <w:rStyle w:val="font41"/>
                <w:rFonts w:hAnsi="宋体" w:hint="default"/>
                <w:sz w:val="21"/>
                <w:szCs w:val="21"/>
                <w:lang w:bidi="ar"/>
              </w:rPr>
              <w:t>超期使用，如超期使用须经审批。</w:t>
            </w:r>
          </w:p>
        </w:tc>
        <w:tc>
          <w:tcPr>
            <w:tcW w:w="1985" w:type="dxa"/>
            <w:vAlign w:val="center"/>
          </w:tcPr>
          <w:p w14:paraId="4AB0AEB1" w14:textId="77777777" w:rsidR="009A1B49" w:rsidRDefault="009A1B49">
            <w:pPr>
              <w:widowControl/>
              <w:spacing w:after="0" w:line="260" w:lineRule="exact"/>
              <w:jc w:val="center"/>
              <w:rPr>
                <w:rFonts w:ascii="Times New Roman" w:eastAsia="仿宋" w:hAnsi="Times New Roman" w:cs="Times New Roman"/>
                <w:sz w:val="21"/>
                <w:szCs w:val="21"/>
              </w:rPr>
            </w:pPr>
          </w:p>
        </w:tc>
        <w:tc>
          <w:tcPr>
            <w:tcW w:w="1985" w:type="dxa"/>
            <w:vAlign w:val="center"/>
          </w:tcPr>
          <w:p w14:paraId="772AA486" w14:textId="77777777" w:rsidR="009A1B49" w:rsidRDefault="009A1B49">
            <w:pPr>
              <w:widowControl/>
              <w:spacing w:after="0" w:line="260" w:lineRule="exact"/>
              <w:rPr>
                <w:rFonts w:ascii="Times New Roman" w:eastAsia="仿宋" w:hAnsi="Times New Roman" w:cs="Times New Roman"/>
                <w:sz w:val="21"/>
                <w:szCs w:val="21"/>
              </w:rPr>
            </w:pPr>
          </w:p>
        </w:tc>
      </w:tr>
      <w:tr w:rsidR="009A1B49" w14:paraId="18DE4A81" w14:textId="77777777">
        <w:trPr>
          <w:trHeight w:val="120"/>
          <w:jc w:val="center"/>
        </w:trPr>
        <w:tc>
          <w:tcPr>
            <w:tcW w:w="1280" w:type="dxa"/>
            <w:vMerge/>
            <w:vAlign w:val="center"/>
          </w:tcPr>
          <w:p w14:paraId="44C86E4C" w14:textId="77777777" w:rsidR="009A1B49" w:rsidRDefault="009A1B49">
            <w:pPr>
              <w:spacing w:after="0" w:line="260" w:lineRule="exact"/>
              <w:jc w:val="center"/>
              <w:rPr>
                <w:rFonts w:ascii="Times New Roman" w:eastAsia="仿宋" w:hAnsi="Times New Roman" w:cs="Times New Roman"/>
                <w:sz w:val="21"/>
                <w:szCs w:val="21"/>
              </w:rPr>
            </w:pPr>
          </w:p>
        </w:tc>
        <w:tc>
          <w:tcPr>
            <w:tcW w:w="708" w:type="dxa"/>
            <w:vAlign w:val="center"/>
          </w:tcPr>
          <w:p w14:paraId="583C30FA" w14:textId="77777777" w:rsidR="009A1B49"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39</w:t>
            </w:r>
          </w:p>
        </w:tc>
        <w:tc>
          <w:tcPr>
            <w:tcW w:w="2551" w:type="dxa"/>
            <w:vAlign w:val="center"/>
          </w:tcPr>
          <w:p w14:paraId="182FB8B8" w14:textId="77777777" w:rsidR="009A1B49"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散热不良风险：</w:t>
            </w:r>
            <w:r>
              <w:rPr>
                <w:rStyle w:val="font41"/>
                <w:rFonts w:hAnsi="宋体" w:hint="default"/>
                <w:sz w:val="21"/>
                <w:szCs w:val="21"/>
                <w:lang w:bidi="ar"/>
              </w:rPr>
              <w:t>冰箱周围堆放杂物，或紧贴墙壁放置，影响散热，可能导致压缩机过热、寿命缩短甚至引发火灾。</w:t>
            </w:r>
          </w:p>
        </w:tc>
        <w:tc>
          <w:tcPr>
            <w:tcW w:w="6237" w:type="dxa"/>
            <w:vAlign w:val="center"/>
          </w:tcPr>
          <w:p w14:paraId="79CE32C6" w14:textId="77777777" w:rsidR="009A1B49"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）冰箱周围留出足够空间，周围不堆放杂物，不影响散热。</w:t>
            </w:r>
          </w:p>
        </w:tc>
        <w:tc>
          <w:tcPr>
            <w:tcW w:w="1985" w:type="dxa"/>
            <w:vAlign w:val="center"/>
          </w:tcPr>
          <w:p w14:paraId="767EBE27" w14:textId="77777777" w:rsidR="009A1B49" w:rsidRDefault="009A1B49">
            <w:pPr>
              <w:widowControl/>
              <w:spacing w:after="0" w:line="260" w:lineRule="exact"/>
              <w:jc w:val="center"/>
              <w:rPr>
                <w:rFonts w:ascii="Times New Roman" w:eastAsia="仿宋" w:hAnsi="Times New Roman" w:cs="Times New Roman"/>
                <w:sz w:val="21"/>
                <w:szCs w:val="21"/>
              </w:rPr>
            </w:pPr>
          </w:p>
        </w:tc>
        <w:tc>
          <w:tcPr>
            <w:tcW w:w="1985" w:type="dxa"/>
            <w:vAlign w:val="center"/>
          </w:tcPr>
          <w:p w14:paraId="7751D17B" w14:textId="77777777" w:rsidR="009A1B49" w:rsidRDefault="009A1B49">
            <w:pPr>
              <w:widowControl/>
              <w:spacing w:after="0" w:line="260" w:lineRule="exact"/>
              <w:rPr>
                <w:rFonts w:ascii="Times New Roman" w:eastAsia="仿宋" w:hAnsi="Times New Roman" w:cs="Times New Roman"/>
                <w:sz w:val="21"/>
                <w:szCs w:val="21"/>
              </w:rPr>
            </w:pPr>
          </w:p>
        </w:tc>
      </w:tr>
      <w:tr w:rsidR="009A1B49" w14:paraId="43E8CE06" w14:textId="77777777">
        <w:trPr>
          <w:trHeight w:val="994"/>
          <w:jc w:val="center"/>
        </w:trPr>
        <w:tc>
          <w:tcPr>
            <w:tcW w:w="1280" w:type="dxa"/>
            <w:vMerge/>
            <w:vAlign w:val="center"/>
          </w:tcPr>
          <w:p w14:paraId="22DD0338" w14:textId="77777777" w:rsidR="009A1B49" w:rsidRDefault="009A1B49">
            <w:pPr>
              <w:spacing w:after="0" w:line="260" w:lineRule="exact"/>
              <w:jc w:val="center"/>
              <w:rPr>
                <w:rFonts w:ascii="Times New Roman" w:eastAsia="仿宋" w:hAnsi="Times New Roman" w:cs="Times New Roman"/>
                <w:sz w:val="21"/>
                <w:szCs w:val="21"/>
              </w:rPr>
            </w:pPr>
          </w:p>
        </w:tc>
        <w:tc>
          <w:tcPr>
            <w:tcW w:w="708" w:type="dxa"/>
            <w:vAlign w:val="center"/>
          </w:tcPr>
          <w:p w14:paraId="13D13258" w14:textId="77777777" w:rsidR="009A1B49"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40</w:t>
            </w:r>
          </w:p>
        </w:tc>
        <w:tc>
          <w:tcPr>
            <w:tcW w:w="2551" w:type="dxa"/>
            <w:vAlign w:val="center"/>
          </w:tcPr>
          <w:p w14:paraId="5B8519E2" w14:textId="77777777" w:rsidR="009A1B49"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标识与分区风险：</w:t>
            </w:r>
            <w:r>
              <w:rPr>
                <w:rStyle w:val="font41"/>
                <w:rFonts w:hAnsi="宋体" w:hint="default"/>
                <w:sz w:val="21"/>
                <w:szCs w:val="21"/>
                <w:lang w:bidi="ar"/>
              </w:rPr>
              <w:t>超低温冰箱</w:t>
            </w:r>
            <w:proofErr w:type="gramStart"/>
            <w:r>
              <w:rPr>
                <w:rStyle w:val="font41"/>
                <w:rFonts w:hAnsi="宋体" w:hint="default"/>
                <w:sz w:val="21"/>
                <w:szCs w:val="21"/>
                <w:lang w:bidi="ar"/>
              </w:rPr>
              <w:t>门上无储物</w:t>
            </w:r>
            <w:proofErr w:type="gramEnd"/>
            <w:r>
              <w:rPr>
                <w:rStyle w:val="font41"/>
                <w:rFonts w:hAnsi="宋体" w:hint="default"/>
                <w:sz w:val="21"/>
                <w:szCs w:val="21"/>
                <w:lang w:bidi="ar"/>
              </w:rPr>
              <w:t>分区标识，影响查找和整理。</w:t>
            </w:r>
          </w:p>
        </w:tc>
        <w:tc>
          <w:tcPr>
            <w:tcW w:w="6237" w:type="dxa"/>
            <w:vAlign w:val="center"/>
          </w:tcPr>
          <w:p w14:paraId="1C3ECA9F" w14:textId="77777777" w:rsidR="009A1B49"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）冰箱内存放的物品须标识明确，至少包括：名称、使用人、日期等，并经常清理。</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）超低温冰箱门上有储物分区标识。</w:t>
            </w:r>
          </w:p>
        </w:tc>
        <w:tc>
          <w:tcPr>
            <w:tcW w:w="1985" w:type="dxa"/>
            <w:vAlign w:val="center"/>
          </w:tcPr>
          <w:p w14:paraId="2FEFEF3C" w14:textId="77777777" w:rsidR="009A1B49" w:rsidRDefault="009A1B49">
            <w:pPr>
              <w:widowControl/>
              <w:spacing w:after="0" w:line="260" w:lineRule="exact"/>
              <w:jc w:val="center"/>
              <w:rPr>
                <w:rFonts w:ascii="Times New Roman" w:eastAsia="仿宋" w:hAnsi="Times New Roman" w:cs="Times New Roman"/>
                <w:sz w:val="21"/>
                <w:szCs w:val="21"/>
              </w:rPr>
            </w:pPr>
          </w:p>
        </w:tc>
        <w:tc>
          <w:tcPr>
            <w:tcW w:w="1985" w:type="dxa"/>
            <w:vAlign w:val="center"/>
          </w:tcPr>
          <w:p w14:paraId="22B9907D" w14:textId="77777777" w:rsidR="009A1B49" w:rsidRDefault="009A1B49">
            <w:pPr>
              <w:widowControl/>
              <w:spacing w:after="0" w:line="260" w:lineRule="exact"/>
              <w:rPr>
                <w:rFonts w:ascii="Times New Roman" w:eastAsia="仿宋" w:hAnsi="Times New Roman" w:cs="Times New Roman"/>
                <w:sz w:val="21"/>
                <w:szCs w:val="21"/>
              </w:rPr>
            </w:pPr>
          </w:p>
        </w:tc>
      </w:tr>
      <w:tr w:rsidR="009A1B49" w14:paraId="45CE557E" w14:textId="77777777">
        <w:trPr>
          <w:trHeight w:val="1080"/>
          <w:jc w:val="center"/>
        </w:trPr>
        <w:tc>
          <w:tcPr>
            <w:tcW w:w="1280" w:type="dxa"/>
            <w:vMerge w:val="restart"/>
            <w:vAlign w:val="center"/>
          </w:tcPr>
          <w:p w14:paraId="55348203" w14:textId="77777777" w:rsidR="009A1B49"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【第七类】压力容器风险</w:t>
            </w:r>
          </w:p>
        </w:tc>
        <w:tc>
          <w:tcPr>
            <w:tcW w:w="708" w:type="dxa"/>
            <w:vAlign w:val="center"/>
          </w:tcPr>
          <w:p w14:paraId="5A6C9204" w14:textId="77777777" w:rsidR="009A1B49"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41</w:t>
            </w:r>
          </w:p>
        </w:tc>
        <w:tc>
          <w:tcPr>
            <w:tcW w:w="2551" w:type="dxa"/>
            <w:vAlign w:val="center"/>
          </w:tcPr>
          <w:p w14:paraId="122A96FF" w14:textId="77777777" w:rsidR="009A1B49"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超压爆炸风险：</w:t>
            </w:r>
            <w:r>
              <w:rPr>
                <w:rStyle w:val="font41"/>
                <w:rFonts w:hAnsi="宋体" w:hint="default"/>
                <w:sz w:val="21"/>
                <w:szCs w:val="21"/>
                <w:lang w:bidi="ar"/>
              </w:rPr>
              <w:t>压力容器（如储气罐、高压灭菌锅、反应釜）罐体或其他关键设备腐蚀老化的情况下，可能发生超压爆炸，造成严重伤害。</w:t>
            </w:r>
          </w:p>
        </w:tc>
        <w:tc>
          <w:tcPr>
            <w:tcW w:w="6237" w:type="dxa"/>
            <w:vAlign w:val="center"/>
          </w:tcPr>
          <w:p w14:paraId="06EF6B90" w14:textId="77777777" w:rsidR="009A1B49"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）压力容器须取得特种设备使用登记证。</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）委托有资质的单位进行定期检验，并将定期检验合格证置于显著位置。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）建立压力容器自行检查制度。</w:t>
            </w:r>
          </w:p>
        </w:tc>
        <w:tc>
          <w:tcPr>
            <w:tcW w:w="1985" w:type="dxa"/>
            <w:vAlign w:val="center"/>
          </w:tcPr>
          <w:p w14:paraId="29FE2C42" w14:textId="77777777" w:rsidR="009A1B49" w:rsidRDefault="009A1B49">
            <w:pPr>
              <w:widowControl/>
              <w:spacing w:after="0" w:line="260" w:lineRule="exact"/>
              <w:jc w:val="center"/>
              <w:rPr>
                <w:rFonts w:ascii="Times New Roman" w:eastAsia="仿宋" w:hAnsi="Times New Roman" w:cs="Times New Roman"/>
                <w:sz w:val="21"/>
                <w:szCs w:val="21"/>
              </w:rPr>
            </w:pPr>
          </w:p>
        </w:tc>
        <w:tc>
          <w:tcPr>
            <w:tcW w:w="1985" w:type="dxa"/>
            <w:vAlign w:val="center"/>
          </w:tcPr>
          <w:p w14:paraId="16F4BB9E" w14:textId="77777777" w:rsidR="009A1B49" w:rsidRDefault="009A1B49">
            <w:pPr>
              <w:widowControl/>
              <w:spacing w:after="0" w:line="260" w:lineRule="exact"/>
              <w:rPr>
                <w:rFonts w:ascii="Times New Roman" w:eastAsia="仿宋" w:hAnsi="Times New Roman" w:cs="Times New Roman"/>
                <w:sz w:val="21"/>
                <w:szCs w:val="21"/>
              </w:rPr>
            </w:pPr>
          </w:p>
        </w:tc>
      </w:tr>
      <w:tr w:rsidR="009A1B49" w14:paraId="0C1D63E3" w14:textId="77777777">
        <w:trPr>
          <w:trHeight w:val="1248"/>
          <w:jc w:val="center"/>
        </w:trPr>
        <w:tc>
          <w:tcPr>
            <w:tcW w:w="1280" w:type="dxa"/>
            <w:vMerge/>
            <w:vAlign w:val="center"/>
          </w:tcPr>
          <w:p w14:paraId="17B2AC5A" w14:textId="77777777" w:rsidR="009A1B49" w:rsidRDefault="009A1B49">
            <w:pPr>
              <w:spacing w:after="0" w:line="260" w:lineRule="exact"/>
              <w:jc w:val="center"/>
              <w:rPr>
                <w:rFonts w:ascii="Times New Roman" w:eastAsia="仿宋" w:hAnsi="Times New Roman" w:cs="Times New Roman"/>
                <w:sz w:val="21"/>
                <w:szCs w:val="21"/>
              </w:rPr>
            </w:pPr>
          </w:p>
        </w:tc>
        <w:tc>
          <w:tcPr>
            <w:tcW w:w="708" w:type="dxa"/>
            <w:vAlign w:val="center"/>
          </w:tcPr>
          <w:p w14:paraId="3C8AA98D" w14:textId="77777777" w:rsidR="009A1B49"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42</w:t>
            </w:r>
          </w:p>
        </w:tc>
        <w:tc>
          <w:tcPr>
            <w:tcW w:w="2551" w:type="dxa"/>
            <w:vAlign w:val="center"/>
          </w:tcPr>
          <w:p w14:paraId="2E974A2F" w14:textId="77777777" w:rsidR="009A1B49"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物理爆炸风险：</w:t>
            </w:r>
            <w:r>
              <w:rPr>
                <w:rStyle w:val="font41"/>
                <w:rFonts w:hAnsi="宋体" w:hint="default"/>
                <w:sz w:val="21"/>
                <w:szCs w:val="21"/>
                <w:lang w:bidi="ar"/>
              </w:rPr>
              <w:t>快开门</w:t>
            </w:r>
            <w:proofErr w:type="gramStart"/>
            <w:r>
              <w:rPr>
                <w:rStyle w:val="font41"/>
                <w:rFonts w:hAnsi="宋体" w:hint="default"/>
                <w:sz w:val="21"/>
                <w:szCs w:val="21"/>
                <w:lang w:bidi="ar"/>
              </w:rPr>
              <w:t>式压力</w:t>
            </w:r>
            <w:proofErr w:type="gramEnd"/>
            <w:r>
              <w:rPr>
                <w:rStyle w:val="font41"/>
                <w:rFonts w:hAnsi="宋体" w:hint="default"/>
                <w:sz w:val="21"/>
                <w:szCs w:val="21"/>
                <w:lang w:bidi="ar"/>
              </w:rPr>
              <w:t>容器（如灭菌锅）在门未完全关闭或锁紧的情况下升压，或压力未降至常压时开门，极易发生爆炸事故。</w:t>
            </w:r>
          </w:p>
        </w:tc>
        <w:tc>
          <w:tcPr>
            <w:tcW w:w="6237" w:type="dxa"/>
            <w:vAlign w:val="center"/>
          </w:tcPr>
          <w:p w14:paraId="7D05BD3E" w14:textId="77777777" w:rsidR="009A1B49"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41"/>
                <w:rFonts w:hAnsi="宋体" w:hint="default"/>
                <w:sz w:val="21"/>
                <w:szCs w:val="21"/>
                <w:lang w:bidi="ar"/>
              </w:rPr>
              <w:t>1）快开门</w:t>
            </w:r>
            <w:proofErr w:type="gramStart"/>
            <w:r>
              <w:rPr>
                <w:rStyle w:val="font41"/>
                <w:rFonts w:hAnsi="宋体" w:hint="default"/>
                <w:sz w:val="21"/>
                <w:szCs w:val="21"/>
                <w:lang w:bidi="ar"/>
              </w:rPr>
              <w:t>式压力</w:t>
            </w:r>
            <w:proofErr w:type="gramEnd"/>
            <w:r>
              <w:rPr>
                <w:rStyle w:val="font41"/>
                <w:rFonts w:hAnsi="宋体" w:hint="default"/>
                <w:sz w:val="21"/>
                <w:szCs w:val="21"/>
                <w:lang w:bidi="ar"/>
              </w:rPr>
              <w:t>容器操作人员应取得相应的特种设备作业人员证，持证上岗。</w:t>
            </w:r>
          </w:p>
        </w:tc>
        <w:tc>
          <w:tcPr>
            <w:tcW w:w="1985" w:type="dxa"/>
            <w:vAlign w:val="center"/>
          </w:tcPr>
          <w:p w14:paraId="603A015C" w14:textId="77777777" w:rsidR="009A1B49" w:rsidRDefault="009A1B49">
            <w:pPr>
              <w:widowControl/>
              <w:spacing w:after="0" w:line="260" w:lineRule="exact"/>
              <w:jc w:val="center"/>
              <w:rPr>
                <w:rFonts w:ascii="Times New Roman" w:eastAsia="仿宋" w:hAnsi="Times New Roman" w:cs="Times New Roman"/>
                <w:sz w:val="21"/>
                <w:szCs w:val="21"/>
              </w:rPr>
            </w:pPr>
          </w:p>
        </w:tc>
        <w:tc>
          <w:tcPr>
            <w:tcW w:w="1985" w:type="dxa"/>
            <w:vAlign w:val="center"/>
          </w:tcPr>
          <w:p w14:paraId="2C5320C8" w14:textId="77777777" w:rsidR="009A1B49" w:rsidRDefault="009A1B49">
            <w:pPr>
              <w:widowControl/>
              <w:spacing w:after="0" w:line="260" w:lineRule="exact"/>
              <w:rPr>
                <w:rFonts w:ascii="Times New Roman" w:eastAsia="仿宋" w:hAnsi="Times New Roman" w:cs="Times New Roman"/>
                <w:sz w:val="21"/>
                <w:szCs w:val="21"/>
              </w:rPr>
            </w:pPr>
          </w:p>
        </w:tc>
      </w:tr>
      <w:tr w:rsidR="009A1B49" w14:paraId="5B8B5B05" w14:textId="77777777">
        <w:trPr>
          <w:trHeight w:val="756"/>
          <w:jc w:val="center"/>
        </w:trPr>
        <w:tc>
          <w:tcPr>
            <w:tcW w:w="1280" w:type="dxa"/>
            <w:vMerge/>
            <w:vAlign w:val="center"/>
          </w:tcPr>
          <w:p w14:paraId="5E8DBD07" w14:textId="77777777" w:rsidR="009A1B49" w:rsidRDefault="009A1B49">
            <w:pPr>
              <w:spacing w:after="0" w:line="260" w:lineRule="exact"/>
              <w:jc w:val="center"/>
              <w:rPr>
                <w:rFonts w:ascii="Times New Roman" w:eastAsia="仿宋" w:hAnsi="Times New Roman" w:cs="Times New Roman"/>
                <w:sz w:val="21"/>
                <w:szCs w:val="21"/>
              </w:rPr>
            </w:pPr>
          </w:p>
        </w:tc>
        <w:tc>
          <w:tcPr>
            <w:tcW w:w="708" w:type="dxa"/>
            <w:vAlign w:val="center"/>
          </w:tcPr>
          <w:p w14:paraId="7E998CE8" w14:textId="77777777" w:rsidR="009A1B49"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43</w:t>
            </w:r>
          </w:p>
        </w:tc>
        <w:tc>
          <w:tcPr>
            <w:tcW w:w="2551" w:type="dxa"/>
            <w:vAlign w:val="center"/>
          </w:tcPr>
          <w:p w14:paraId="63BF988A" w14:textId="77777777" w:rsidR="009A1B49"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介质泄漏风险：</w:t>
            </w:r>
            <w:r>
              <w:rPr>
                <w:rStyle w:val="font41"/>
                <w:rFonts w:hAnsi="宋体" w:hint="default"/>
                <w:sz w:val="21"/>
                <w:szCs w:val="21"/>
                <w:lang w:bidi="ar"/>
              </w:rPr>
              <w:t>盛装有毒、易燃、腐蚀性介质的压力容器发生泄漏，可能导致中毒、火灾、化学灼伤等次生灾害。</w:t>
            </w:r>
          </w:p>
        </w:tc>
        <w:tc>
          <w:tcPr>
            <w:tcW w:w="6237" w:type="dxa"/>
            <w:vAlign w:val="center"/>
          </w:tcPr>
          <w:p w14:paraId="484BD481" w14:textId="77777777" w:rsidR="009A1B49"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）涉及有毒、可燃气体的场所，须配有通风设施和相应的气体监测和报警装置等。</w:t>
            </w:r>
          </w:p>
        </w:tc>
        <w:tc>
          <w:tcPr>
            <w:tcW w:w="1985" w:type="dxa"/>
            <w:vAlign w:val="center"/>
          </w:tcPr>
          <w:p w14:paraId="202421B2" w14:textId="77777777" w:rsidR="009A1B49" w:rsidRDefault="009A1B49">
            <w:pPr>
              <w:widowControl/>
              <w:spacing w:after="0" w:line="260" w:lineRule="exact"/>
              <w:jc w:val="center"/>
              <w:rPr>
                <w:rFonts w:ascii="Times New Roman" w:eastAsia="仿宋" w:hAnsi="Times New Roman" w:cs="Times New Roman"/>
                <w:sz w:val="21"/>
                <w:szCs w:val="21"/>
              </w:rPr>
            </w:pPr>
          </w:p>
        </w:tc>
        <w:tc>
          <w:tcPr>
            <w:tcW w:w="1985" w:type="dxa"/>
            <w:vAlign w:val="center"/>
          </w:tcPr>
          <w:p w14:paraId="252D726C" w14:textId="77777777" w:rsidR="009A1B49" w:rsidRDefault="009A1B49">
            <w:pPr>
              <w:widowControl/>
              <w:spacing w:after="0" w:line="260" w:lineRule="exact"/>
              <w:rPr>
                <w:rFonts w:ascii="Times New Roman" w:eastAsia="仿宋" w:hAnsi="Times New Roman" w:cs="Times New Roman"/>
                <w:sz w:val="21"/>
                <w:szCs w:val="21"/>
              </w:rPr>
            </w:pPr>
          </w:p>
        </w:tc>
      </w:tr>
      <w:tr w:rsidR="009A1B49" w14:paraId="5ABBA6A6" w14:textId="77777777">
        <w:trPr>
          <w:trHeight w:val="576"/>
          <w:jc w:val="center"/>
        </w:trPr>
        <w:tc>
          <w:tcPr>
            <w:tcW w:w="1280" w:type="dxa"/>
            <w:vMerge/>
            <w:vAlign w:val="center"/>
          </w:tcPr>
          <w:p w14:paraId="0C2FBB17" w14:textId="77777777" w:rsidR="009A1B49" w:rsidRDefault="009A1B49">
            <w:pPr>
              <w:spacing w:after="0" w:line="260" w:lineRule="exact"/>
              <w:jc w:val="center"/>
              <w:rPr>
                <w:rFonts w:ascii="Times New Roman" w:eastAsia="仿宋" w:hAnsi="Times New Roman" w:cs="Times New Roman"/>
                <w:sz w:val="21"/>
                <w:szCs w:val="21"/>
              </w:rPr>
            </w:pPr>
          </w:p>
        </w:tc>
        <w:tc>
          <w:tcPr>
            <w:tcW w:w="708" w:type="dxa"/>
            <w:vAlign w:val="center"/>
          </w:tcPr>
          <w:p w14:paraId="1E2926E4" w14:textId="77777777" w:rsidR="009A1B49"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44</w:t>
            </w:r>
          </w:p>
        </w:tc>
        <w:tc>
          <w:tcPr>
            <w:tcW w:w="2551" w:type="dxa"/>
            <w:vAlign w:val="center"/>
          </w:tcPr>
          <w:p w14:paraId="2BC5C1E3" w14:textId="77777777" w:rsidR="009A1B49"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操作风险：</w:t>
            </w:r>
            <w:r>
              <w:rPr>
                <w:rStyle w:val="font41"/>
                <w:rFonts w:hAnsi="宋体" w:hint="default"/>
                <w:sz w:val="21"/>
                <w:szCs w:val="21"/>
                <w:lang w:bidi="ar"/>
              </w:rPr>
              <w:t>操作人员未经培训、无证上岗；未按操作规程进行升压、保压、降压操作；快开门压力容器在运行过程中违规操作门锁。</w:t>
            </w:r>
          </w:p>
        </w:tc>
        <w:tc>
          <w:tcPr>
            <w:tcW w:w="6237" w:type="dxa"/>
            <w:vAlign w:val="center"/>
          </w:tcPr>
          <w:p w14:paraId="5CABD8C3" w14:textId="77777777" w:rsidR="009A1B49"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）建立各项安全管理制度，制定操作规程。</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）实验室应经常巡回检查，发现异常及时处理。</w:t>
            </w:r>
          </w:p>
        </w:tc>
        <w:tc>
          <w:tcPr>
            <w:tcW w:w="1985" w:type="dxa"/>
            <w:vAlign w:val="center"/>
          </w:tcPr>
          <w:p w14:paraId="47A78CA0" w14:textId="77777777" w:rsidR="009A1B49" w:rsidRDefault="009A1B49">
            <w:pPr>
              <w:widowControl/>
              <w:spacing w:after="0" w:line="260" w:lineRule="exact"/>
              <w:jc w:val="center"/>
              <w:rPr>
                <w:rFonts w:ascii="Times New Roman" w:eastAsia="仿宋" w:hAnsi="Times New Roman" w:cs="Times New Roman"/>
                <w:sz w:val="21"/>
                <w:szCs w:val="21"/>
              </w:rPr>
            </w:pPr>
          </w:p>
        </w:tc>
        <w:tc>
          <w:tcPr>
            <w:tcW w:w="1985" w:type="dxa"/>
            <w:vAlign w:val="center"/>
          </w:tcPr>
          <w:p w14:paraId="01CAC386" w14:textId="77777777" w:rsidR="009A1B49" w:rsidRDefault="009A1B49">
            <w:pPr>
              <w:widowControl/>
              <w:spacing w:after="0" w:line="260" w:lineRule="exact"/>
              <w:rPr>
                <w:rFonts w:ascii="Times New Roman" w:eastAsia="仿宋" w:hAnsi="Times New Roman" w:cs="Times New Roman"/>
                <w:sz w:val="21"/>
                <w:szCs w:val="21"/>
              </w:rPr>
            </w:pPr>
          </w:p>
        </w:tc>
      </w:tr>
      <w:tr w:rsidR="009A1B49" w14:paraId="52335C46" w14:textId="77777777">
        <w:trPr>
          <w:trHeight w:val="1112"/>
          <w:jc w:val="center"/>
        </w:trPr>
        <w:tc>
          <w:tcPr>
            <w:tcW w:w="1280" w:type="dxa"/>
            <w:vMerge/>
            <w:vAlign w:val="center"/>
          </w:tcPr>
          <w:p w14:paraId="6BF50645" w14:textId="77777777" w:rsidR="009A1B49" w:rsidRDefault="009A1B49">
            <w:pPr>
              <w:spacing w:after="0" w:line="260" w:lineRule="exact"/>
              <w:jc w:val="center"/>
              <w:rPr>
                <w:rFonts w:ascii="Times New Roman" w:eastAsia="仿宋" w:hAnsi="Times New Roman" w:cs="Times New Roman"/>
                <w:sz w:val="21"/>
                <w:szCs w:val="21"/>
              </w:rPr>
            </w:pPr>
          </w:p>
        </w:tc>
        <w:tc>
          <w:tcPr>
            <w:tcW w:w="708" w:type="dxa"/>
            <w:vAlign w:val="center"/>
          </w:tcPr>
          <w:p w14:paraId="31FE7F5A" w14:textId="77777777" w:rsidR="009A1B49"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45</w:t>
            </w:r>
          </w:p>
        </w:tc>
        <w:tc>
          <w:tcPr>
            <w:tcW w:w="2551" w:type="dxa"/>
            <w:vAlign w:val="center"/>
          </w:tcPr>
          <w:p w14:paraId="0B6863F5" w14:textId="77777777" w:rsidR="009A1B49"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附件失效风险：</w:t>
            </w:r>
            <w:r>
              <w:rPr>
                <w:rStyle w:val="font41"/>
                <w:rFonts w:hAnsi="宋体" w:hint="default"/>
                <w:sz w:val="21"/>
                <w:szCs w:val="21"/>
                <w:lang w:bidi="ar"/>
              </w:rPr>
              <w:t>安全阀、压力表未定期校验或检定，导致失效；安全阀泄放口未正确导向，可能误伤人员。</w:t>
            </w:r>
          </w:p>
        </w:tc>
        <w:tc>
          <w:tcPr>
            <w:tcW w:w="6237" w:type="dxa"/>
            <w:vAlign w:val="center"/>
          </w:tcPr>
          <w:p w14:paraId="3ECF73B0" w14:textId="77777777" w:rsidR="009A1B49"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）安全阀或压力表等附件须委托有资质的单位定期校验或检定。</w:t>
            </w:r>
          </w:p>
        </w:tc>
        <w:tc>
          <w:tcPr>
            <w:tcW w:w="1985" w:type="dxa"/>
            <w:vAlign w:val="center"/>
          </w:tcPr>
          <w:p w14:paraId="3795FDEE" w14:textId="77777777" w:rsidR="009A1B49" w:rsidRDefault="009A1B49">
            <w:pPr>
              <w:widowControl/>
              <w:spacing w:after="0" w:line="260" w:lineRule="exact"/>
              <w:jc w:val="center"/>
              <w:rPr>
                <w:rFonts w:ascii="Times New Roman" w:eastAsia="仿宋" w:hAnsi="Times New Roman" w:cs="Times New Roman"/>
                <w:sz w:val="21"/>
                <w:szCs w:val="21"/>
              </w:rPr>
            </w:pPr>
          </w:p>
        </w:tc>
        <w:tc>
          <w:tcPr>
            <w:tcW w:w="1985" w:type="dxa"/>
            <w:vAlign w:val="center"/>
          </w:tcPr>
          <w:p w14:paraId="103B68E2" w14:textId="77777777" w:rsidR="009A1B49" w:rsidRDefault="009A1B49">
            <w:pPr>
              <w:widowControl/>
              <w:spacing w:after="0" w:line="260" w:lineRule="exact"/>
              <w:rPr>
                <w:rFonts w:ascii="Times New Roman" w:eastAsia="仿宋" w:hAnsi="Times New Roman" w:cs="Times New Roman"/>
                <w:sz w:val="21"/>
                <w:szCs w:val="21"/>
              </w:rPr>
            </w:pPr>
          </w:p>
        </w:tc>
      </w:tr>
      <w:tr w:rsidR="009A1B49" w14:paraId="7CFF83C6" w14:textId="77777777">
        <w:trPr>
          <w:trHeight w:val="88"/>
          <w:jc w:val="center"/>
        </w:trPr>
        <w:tc>
          <w:tcPr>
            <w:tcW w:w="1280" w:type="dxa"/>
            <w:vMerge/>
            <w:vAlign w:val="center"/>
          </w:tcPr>
          <w:p w14:paraId="1767CFC9" w14:textId="77777777" w:rsidR="009A1B49" w:rsidRDefault="009A1B49">
            <w:pPr>
              <w:spacing w:after="0" w:line="260" w:lineRule="exact"/>
              <w:jc w:val="center"/>
              <w:rPr>
                <w:rFonts w:ascii="Times New Roman" w:eastAsia="仿宋" w:hAnsi="Times New Roman" w:cs="Times New Roman"/>
                <w:sz w:val="21"/>
                <w:szCs w:val="21"/>
              </w:rPr>
            </w:pPr>
          </w:p>
        </w:tc>
        <w:tc>
          <w:tcPr>
            <w:tcW w:w="708" w:type="dxa"/>
            <w:vAlign w:val="center"/>
          </w:tcPr>
          <w:p w14:paraId="049B0A25" w14:textId="77777777" w:rsidR="009A1B49"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46</w:t>
            </w:r>
          </w:p>
        </w:tc>
        <w:tc>
          <w:tcPr>
            <w:tcW w:w="2551" w:type="dxa"/>
            <w:vAlign w:val="center"/>
          </w:tcPr>
          <w:p w14:paraId="4AE0E2CA" w14:textId="77777777" w:rsidR="009A1B49"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登记与检验风险：</w:t>
            </w:r>
            <w:r>
              <w:rPr>
                <w:rStyle w:val="font41"/>
                <w:rFonts w:hAnsi="宋体" w:hint="default"/>
                <w:sz w:val="21"/>
                <w:szCs w:val="21"/>
                <w:lang w:bidi="ar"/>
              </w:rPr>
              <w:t>未按规定办理特种设备使用登记证；未委托有资质的单位进行定期检验，或检验合格证过期；简单压力容器未建立设备安全管理档案；超期使用。</w:t>
            </w:r>
          </w:p>
        </w:tc>
        <w:tc>
          <w:tcPr>
            <w:tcW w:w="6237" w:type="dxa"/>
            <w:vAlign w:val="center"/>
          </w:tcPr>
          <w:p w14:paraId="306945D0" w14:textId="77777777" w:rsidR="009A1B49"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）压力容器须取得特种设备使用登记证。</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）委托有资质的单位进行定期检验。</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）简单压力容器也应建立设备安全管理档案。</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）达到设计使用年限的压力容器应及时报废。</w:t>
            </w:r>
          </w:p>
        </w:tc>
        <w:tc>
          <w:tcPr>
            <w:tcW w:w="1985" w:type="dxa"/>
            <w:vAlign w:val="center"/>
          </w:tcPr>
          <w:p w14:paraId="51A7FBA7" w14:textId="77777777" w:rsidR="009A1B49" w:rsidRDefault="009A1B49">
            <w:pPr>
              <w:widowControl/>
              <w:spacing w:after="0" w:line="260" w:lineRule="exact"/>
              <w:jc w:val="center"/>
              <w:rPr>
                <w:rFonts w:ascii="Times New Roman" w:eastAsia="仿宋" w:hAnsi="Times New Roman" w:cs="Times New Roman"/>
                <w:sz w:val="21"/>
                <w:szCs w:val="21"/>
              </w:rPr>
            </w:pPr>
          </w:p>
        </w:tc>
        <w:tc>
          <w:tcPr>
            <w:tcW w:w="1985" w:type="dxa"/>
            <w:vAlign w:val="center"/>
          </w:tcPr>
          <w:p w14:paraId="346E0D43" w14:textId="77777777" w:rsidR="009A1B49" w:rsidRDefault="009A1B49">
            <w:pPr>
              <w:widowControl/>
              <w:spacing w:after="0" w:line="260" w:lineRule="exact"/>
              <w:rPr>
                <w:rFonts w:ascii="Times New Roman" w:eastAsia="仿宋" w:hAnsi="Times New Roman" w:cs="Times New Roman"/>
                <w:sz w:val="21"/>
                <w:szCs w:val="21"/>
              </w:rPr>
            </w:pPr>
          </w:p>
        </w:tc>
      </w:tr>
      <w:tr w:rsidR="009A1B49" w14:paraId="5AAE6185" w14:textId="77777777">
        <w:trPr>
          <w:trHeight w:val="2420"/>
          <w:jc w:val="center"/>
        </w:trPr>
        <w:tc>
          <w:tcPr>
            <w:tcW w:w="1280" w:type="dxa"/>
            <w:vMerge w:val="restart"/>
            <w:vAlign w:val="center"/>
          </w:tcPr>
          <w:p w14:paraId="716F4B39" w14:textId="77777777" w:rsidR="009A1B49"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【第八类】危险作业相关风险</w:t>
            </w:r>
          </w:p>
        </w:tc>
        <w:tc>
          <w:tcPr>
            <w:tcW w:w="708" w:type="dxa"/>
            <w:vAlign w:val="center"/>
          </w:tcPr>
          <w:p w14:paraId="55A5B321" w14:textId="77777777" w:rsidR="009A1B49"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47</w:t>
            </w:r>
          </w:p>
        </w:tc>
        <w:tc>
          <w:tcPr>
            <w:tcW w:w="2551" w:type="dxa"/>
            <w:vAlign w:val="center"/>
          </w:tcPr>
          <w:p w14:paraId="50D5E8B5" w14:textId="77777777" w:rsidR="009A1B49"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危险作业风险</w:t>
            </w:r>
            <w:r>
              <w:rPr>
                <w:rStyle w:val="font41"/>
                <w:rFonts w:hAnsi="宋体" w:hint="default"/>
                <w:sz w:val="21"/>
                <w:szCs w:val="21"/>
                <w:lang w:bidi="ar"/>
              </w:rPr>
              <w:t>：动火、有限空间、高处作业、吊装、临时用电、爆破、挖掘等危险作业风险：与生产企业相关的危险作业，在高校实验室中很少出现，但部分理工科高校学生从事小试或中试实验时会从事危险作业，作业风险高、事故易发。</w:t>
            </w:r>
          </w:p>
        </w:tc>
        <w:tc>
          <w:tcPr>
            <w:tcW w:w="6237" w:type="dxa"/>
            <w:vAlign w:val="center"/>
          </w:tcPr>
          <w:p w14:paraId="394D3AED" w14:textId="77777777" w:rsidR="009A1B49"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）从事危险作业前应当对作业现场进行安全风险辨识、制定作业方案和安全防范措施、按照规定持证上岗、进行安全技术交底、指定专人进行现场作业的统一指挥、指定安全管理人员进行现场安全检查和监督等。</w:t>
            </w:r>
          </w:p>
        </w:tc>
        <w:tc>
          <w:tcPr>
            <w:tcW w:w="1985" w:type="dxa"/>
            <w:vAlign w:val="center"/>
          </w:tcPr>
          <w:p w14:paraId="62DA6166" w14:textId="77777777" w:rsidR="009A1B49" w:rsidRDefault="009A1B49">
            <w:pPr>
              <w:widowControl/>
              <w:spacing w:after="0" w:line="260" w:lineRule="exact"/>
              <w:jc w:val="both"/>
              <w:rPr>
                <w:rFonts w:ascii="Times New Roman" w:eastAsia="仿宋" w:hAnsi="Times New Roman" w:cs="Times New Roman"/>
                <w:sz w:val="21"/>
                <w:szCs w:val="21"/>
              </w:rPr>
            </w:pPr>
          </w:p>
        </w:tc>
        <w:tc>
          <w:tcPr>
            <w:tcW w:w="1985" w:type="dxa"/>
            <w:vAlign w:val="center"/>
          </w:tcPr>
          <w:p w14:paraId="6ED774F2" w14:textId="77777777" w:rsidR="009A1B49" w:rsidRDefault="009A1B49">
            <w:pPr>
              <w:widowControl/>
              <w:spacing w:after="0" w:line="260" w:lineRule="exact"/>
              <w:rPr>
                <w:rFonts w:ascii="Times New Roman" w:eastAsia="仿宋" w:hAnsi="Times New Roman" w:cs="Times New Roman"/>
                <w:sz w:val="21"/>
                <w:szCs w:val="21"/>
              </w:rPr>
            </w:pPr>
          </w:p>
        </w:tc>
      </w:tr>
      <w:tr w:rsidR="009A1B49" w14:paraId="3455D766" w14:textId="77777777">
        <w:trPr>
          <w:trHeight w:val="3605"/>
          <w:jc w:val="center"/>
        </w:trPr>
        <w:tc>
          <w:tcPr>
            <w:tcW w:w="1280" w:type="dxa"/>
            <w:vMerge/>
            <w:vAlign w:val="center"/>
          </w:tcPr>
          <w:p w14:paraId="6EE02406" w14:textId="77777777" w:rsidR="009A1B49" w:rsidRDefault="009A1B49">
            <w:pPr>
              <w:spacing w:after="0" w:line="260" w:lineRule="exact"/>
              <w:jc w:val="center"/>
              <w:rPr>
                <w:rFonts w:ascii="Times New Roman" w:eastAsia="仿宋" w:hAnsi="Times New Roman" w:cs="Times New Roman"/>
                <w:sz w:val="21"/>
                <w:szCs w:val="21"/>
              </w:rPr>
            </w:pPr>
          </w:p>
        </w:tc>
        <w:tc>
          <w:tcPr>
            <w:tcW w:w="708" w:type="dxa"/>
            <w:vAlign w:val="center"/>
          </w:tcPr>
          <w:p w14:paraId="27D2EBEC" w14:textId="77777777" w:rsidR="009A1B49"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48</w:t>
            </w:r>
          </w:p>
        </w:tc>
        <w:tc>
          <w:tcPr>
            <w:tcW w:w="2551" w:type="dxa"/>
            <w:vAlign w:val="center"/>
          </w:tcPr>
          <w:p w14:paraId="61B18C62" w14:textId="77777777" w:rsidR="009A1B49"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特殊设备风险</w:t>
            </w:r>
            <w:r>
              <w:rPr>
                <w:rStyle w:val="font41"/>
                <w:rFonts w:hAnsi="宋体" w:hint="default"/>
                <w:sz w:val="21"/>
                <w:szCs w:val="21"/>
                <w:lang w:bidi="ar"/>
              </w:rPr>
              <w:t>：涉及高电压、大电流、高温、高压、高速运动、电磁辐射等特殊设备，以及非标自制实验设备、锂电池等未做安全评估与防护，无人员监管。</w:t>
            </w:r>
          </w:p>
        </w:tc>
        <w:tc>
          <w:tcPr>
            <w:tcW w:w="6237" w:type="dxa"/>
            <w:vAlign w:val="center"/>
          </w:tcPr>
          <w:p w14:paraId="736368A9" w14:textId="77777777" w:rsidR="009A1B49"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71"/>
                <w:rFonts w:eastAsia="仿宋_GB2312"/>
                <w:sz w:val="21"/>
                <w:szCs w:val="21"/>
                <w:lang w:bidi="ar"/>
              </w:rPr>
              <w:t>1</w:t>
            </w:r>
            <w:r>
              <w:rPr>
                <w:rStyle w:val="font61"/>
                <w:rFonts w:hAnsi="宋体" w:hint="default"/>
                <w:sz w:val="21"/>
                <w:szCs w:val="21"/>
                <w:lang w:bidi="ar"/>
              </w:rPr>
              <w:t>）特殊设备电路容量要匹配，有设备运行维护记录，有安全操作规程或注意事项。</w:t>
            </w:r>
            <w:r>
              <w:rPr>
                <w:rStyle w:val="font81"/>
                <w:rFonts w:eastAsia="仿宋_GB2312"/>
                <w:sz w:val="21"/>
                <w:szCs w:val="21"/>
                <w:lang w:bidi="ar"/>
              </w:rPr>
              <w:t xml:space="preserve"> </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2</w:t>
            </w:r>
            <w:r>
              <w:rPr>
                <w:rStyle w:val="font61"/>
                <w:rFonts w:hAnsi="宋体" w:hint="default"/>
                <w:sz w:val="21"/>
                <w:szCs w:val="21"/>
                <w:lang w:bidi="ar"/>
              </w:rPr>
              <w:t>）特殊设备有安全防护措施，对使用者有培训要求，有安全警示标志和安全警示线。</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3</w:t>
            </w:r>
            <w:r>
              <w:rPr>
                <w:rStyle w:val="font61"/>
                <w:rFonts w:hAnsi="宋体" w:hint="default"/>
                <w:sz w:val="21"/>
                <w:szCs w:val="21"/>
                <w:lang w:bidi="ar"/>
              </w:rPr>
              <w:t>）非标自制设备应</w:t>
            </w:r>
            <w:proofErr w:type="gramStart"/>
            <w:r>
              <w:rPr>
                <w:rStyle w:val="font61"/>
                <w:rFonts w:hAnsi="宋体" w:hint="default"/>
                <w:sz w:val="21"/>
                <w:szCs w:val="21"/>
                <w:lang w:bidi="ar"/>
              </w:rPr>
              <w:t>经安全</w:t>
            </w:r>
            <w:proofErr w:type="gramEnd"/>
            <w:r>
              <w:rPr>
                <w:rStyle w:val="font61"/>
                <w:rFonts w:hAnsi="宋体" w:hint="default"/>
                <w:sz w:val="21"/>
                <w:szCs w:val="21"/>
                <w:lang w:bidi="ar"/>
              </w:rPr>
              <w:t>论证合格后方可使用，须充分考虑安全系数，并有安全防护措施。</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4</w:t>
            </w:r>
            <w:r>
              <w:rPr>
                <w:rStyle w:val="font61"/>
                <w:rFonts w:hAnsi="宋体" w:hint="default"/>
                <w:sz w:val="21"/>
                <w:szCs w:val="21"/>
                <w:lang w:bidi="ar"/>
              </w:rPr>
              <w:t>）操作特殊设备时实验人员应做好个体防护，防护用品要穿戴齐全。</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5</w:t>
            </w:r>
            <w:r>
              <w:rPr>
                <w:rStyle w:val="font61"/>
                <w:rFonts w:hAnsi="宋体" w:hint="default"/>
                <w:sz w:val="21"/>
                <w:szCs w:val="21"/>
                <w:lang w:bidi="ar"/>
              </w:rPr>
              <w:t>）高电压、大电流等强电实验室要设定安全距离，按规定设置安全警示牌，安全信号灯，联动式警铃、门锁，有安全隔离装置或屏蔽遮栏。</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6</w:t>
            </w:r>
            <w:r>
              <w:rPr>
                <w:rStyle w:val="font61"/>
                <w:rFonts w:hAnsi="宋体" w:hint="default"/>
                <w:sz w:val="21"/>
                <w:szCs w:val="21"/>
                <w:lang w:bidi="ar"/>
              </w:rPr>
              <w:t>）强电实验室禁止存放易燃、易爆、易腐品，保持通风散热。</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7</w:t>
            </w:r>
            <w:r>
              <w:rPr>
                <w:rStyle w:val="font61"/>
                <w:rFonts w:hAnsi="宋体" w:hint="default"/>
                <w:sz w:val="21"/>
                <w:szCs w:val="21"/>
                <w:lang w:bidi="ar"/>
              </w:rPr>
              <w:t>）功率较大的激光器有互锁装置、防护罩，激光照射方向不会对他人造成伤害，防止激光发射口及反射镜上扬。</w:t>
            </w:r>
            <w:r>
              <w:rPr>
                <w:rStyle w:val="font71"/>
                <w:rFonts w:eastAsia="仿宋_GB2312"/>
                <w:sz w:val="21"/>
                <w:szCs w:val="21"/>
                <w:lang w:bidi="ar"/>
              </w:rPr>
              <w:t xml:space="preserve">                                                                                                            </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8</w:t>
            </w:r>
            <w:r>
              <w:rPr>
                <w:rStyle w:val="font61"/>
                <w:rFonts w:hAnsi="宋体" w:hint="default"/>
                <w:sz w:val="21"/>
                <w:szCs w:val="21"/>
                <w:lang w:bidi="ar"/>
              </w:rPr>
              <w:t>）锂电池、高能量密度电池等在充放电时须注意热失控，相关实验区域应远离其他可燃物品，须注意自燃等风险。</w:t>
            </w:r>
            <w:r>
              <w:rPr>
                <w:rStyle w:val="font71"/>
                <w:rFonts w:eastAsia="仿宋_GB2312"/>
                <w:sz w:val="21"/>
                <w:szCs w:val="21"/>
                <w:lang w:bidi="ar"/>
              </w:rPr>
              <w:t xml:space="preserve">                                                                                      </w:t>
            </w:r>
            <w:r>
              <w:rPr>
                <w:rStyle w:val="font61"/>
                <w:rFonts w:hAnsi="宋体" w:hint="default"/>
                <w:sz w:val="21"/>
                <w:szCs w:val="21"/>
                <w:lang w:bidi="ar"/>
              </w:rPr>
              <w:t>（</w:t>
            </w:r>
            <w:r>
              <w:rPr>
                <w:rStyle w:val="font71"/>
                <w:rFonts w:eastAsia="仿宋_GB2312"/>
                <w:sz w:val="21"/>
                <w:szCs w:val="21"/>
                <w:lang w:bidi="ar"/>
              </w:rPr>
              <w:t>9</w:t>
            </w:r>
            <w:r>
              <w:rPr>
                <w:rStyle w:val="font61"/>
                <w:rFonts w:hAnsi="宋体" w:hint="default"/>
                <w:sz w:val="21"/>
                <w:szCs w:val="21"/>
                <w:lang w:bidi="ar"/>
              </w:rPr>
              <w:t>）进行特殊设备相关实验时，须有专人在场指导。</w:t>
            </w:r>
          </w:p>
        </w:tc>
        <w:tc>
          <w:tcPr>
            <w:tcW w:w="1985" w:type="dxa"/>
            <w:vAlign w:val="center"/>
          </w:tcPr>
          <w:p w14:paraId="47B30C29" w14:textId="77777777" w:rsidR="009A1B49" w:rsidRDefault="009A1B49">
            <w:pPr>
              <w:widowControl/>
              <w:spacing w:after="0" w:line="260" w:lineRule="exact"/>
              <w:jc w:val="both"/>
              <w:rPr>
                <w:rFonts w:ascii="Times New Roman" w:eastAsia="仿宋" w:hAnsi="Times New Roman" w:cs="Times New Roman"/>
                <w:sz w:val="21"/>
                <w:szCs w:val="21"/>
              </w:rPr>
            </w:pPr>
          </w:p>
        </w:tc>
        <w:tc>
          <w:tcPr>
            <w:tcW w:w="1985" w:type="dxa"/>
            <w:vAlign w:val="center"/>
          </w:tcPr>
          <w:p w14:paraId="3AE668F8" w14:textId="77777777" w:rsidR="009A1B49" w:rsidRDefault="009A1B49">
            <w:pPr>
              <w:widowControl/>
              <w:spacing w:after="0" w:line="260" w:lineRule="exact"/>
              <w:rPr>
                <w:rFonts w:ascii="Times New Roman" w:eastAsia="仿宋" w:hAnsi="Times New Roman" w:cs="Times New Roman"/>
                <w:sz w:val="21"/>
                <w:szCs w:val="21"/>
              </w:rPr>
            </w:pPr>
          </w:p>
        </w:tc>
      </w:tr>
      <w:tr w:rsidR="00812638" w14:paraId="23E42F2A" w14:textId="77777777" w:rsidTr="00812638">
        <w:trPr>
          <w:trHeight w:val="616"/>
          <w:jc w:val="center"/>
        </w:trPr>
        <w:tc>
          <w:tcPr>
            <w:tcW w:w="1280" w:type="dxa"/>
            <w:vAlign w:val="center"/>
          </w:tcPr>
          <w:p w14:paraId="453BD380" w14:textId="5D619BEF" w:rsidR="00812638" w:rsidRPr="00812638" w:rsidRDefault="0081263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总计</w:t>
            </w:r>
          </w:p>
        </w:tc>
        <w:tc>
          <w:tcPr>
            <w:tcW w:w="13466" w:type="dxa"/>
            <w:gridSpan w:val="5"/>
            <w:vAlign w:val="center"/>
          </w:tcPr>
          <w:p w14:paraId="5849D7AF" w14:textId="7D878734" w:rsidR="00812638" w:rsidRDefault="00812638">
            <w:pPr>
              <w:widowControl/>
              <w:spacing w:after="0" w:line="260" w:lineRule="exact"/>
              <w:rPr>
                <w:rFonts w:ascii="Times New Roman" w:eastAsia="仿宋" w:hAnsi="Times New Roman" w:cs="Times New Roman"/>
                <w:sz w:val="21"/>
                <w:szCs w:val="21"/>
              </w:rPr>
            </w:pPr>
            <w:r>
              <w:rPr>
                <w:rFonts w:ascii="Times New Roman" w:eastAsia="仿宋" w:hAnsi="Times New Roman" w:cs="Times New Roman"/>
                <w:sz w:val="21"/>
                <w:szCs w:val="21"/>
              </w:rPr>
              <w:t>发现</w:t>
            </w:r>
            <w:r>
              <w:rPr>
                <w:rFonts w:ascii="Times New Roman" w:eastAsia="仿宋" w:hAnsi="Times New Roman" w:cs="Times New Roman"/>
                <w:sz w:val="21"/>
                <w:szCs w:val="21"/>
              </w:rPr>
              <w:t>X</w:t>
            </w:r>
            <w:r>
              <w:rPr>
                <w:rFonts w:ascii="Times New Roman" w:eastAsia="仿宋" w:hAnsi="Times New Roman" w:cs="Times New Roman"/>
                <w:sz w:val="21"/>
                <w:szCs w:val="21"/>
              </w:rPr>
              <w:t>大类</w:t>
            </w:r>
            <w:r>
              <w:rPr>
                <w:rFonts w:ascii="Times New Roman" w:eastAsia="仿宋" w:hAnsi="Times New Roman" w:cs="Times New Roman"/>
                <w:sz w:val="21"/>
                <w:szCs w:val="21"/>
              </w:rPr>
              <w:t>X</w:t>
            </w:r>
            <w:r>
              <w:rPr>
                <w:rFonts w:ascii="Times New Roman" w:eastAsia="仿宋" w:hAnsi="Times New Roman" w:cs="Times New Roman"/>
                <w:sz w:val="21"/>
                <w:szCs w:val="21"/>
              </w:rPr>
              <w:t>条</w:t>
            </w:r>
            <w:r>
              <w:rPr>
                <w:rFonts w:ascii="Times New Roman" w:eastAsia="仿宋" w:hAnsi="Times New Roman" w:cs="Times New Roman"/>
                <w:sz w:val="21"/>
                <w:szCs w:val="21"/>
              </w:rPr>
              <w:t>X</w:t>
            </w:r>
            <w:proofErr w:type="gramStart"/>
            <w:r>
              <w:rPr>
                <w:rFonts w:ascii="Times New Roman" w:eastAsia="仿宋" w:hAnsi="Times New Roman" w:cs="Times New Roman"/>
                <w:sz w:val="21"/>
                <w:szCs w:val="21"/>
              </w:rPr>
              <w:t>个</w:t>
            </w:r>
            <w:proofErr w:type="gramEnd"/>
            <w:r>
              <w:rPr>
                <w:rFonts w:ascii="Times New Roman" w:eastAsia="仿宋" w:hAnsi="Times New Roman" w:cs="Times New Roman"/>
                <w:sz w:val="21"/>
                <w:szCs w:val="21"/>
              </w:rPr>
              <w:t>风险点，已经处置</w:t>
            </w:r>
            <w:r>
              <w:rPr>
                <w:rFonts w:ascii="Times New Roman" w:eastAsia="仿宋" w:hAnsi="Times New Roman" w:cs="Times New Roman"/>
                <w:sz w:val="21"/>
                <w:szCs w:val="21"/>
              </w:rPr>
              <w:t>X</w:t>
            </w:r>
            <w:proofErr w:type="gramStart"/>
            <w:r>
              <w:rPr>
                <w:rFonts w:ascii="Times New Roman" w:eastAsia="仿宋" w:hAnsi="Times New Roman" w:cs="Times New Roman"/>
                <w:sz w:val="21"/>
                <w:szCs w:val="21"/>
              </w:rPr>
              <w:t>个</w:t>
            </w:r>
            <w:proofErr w:type="gramEnd"/>
            <w:r>
              <w:rPr>
                <w:rFonts w:ascii="Times New Roman" w:eastAsia="仿宋" w:hAnsi="Times New Roman" w:cs="Times New Roman"/>
                <w:sz w:val="21"/>
                <w:szCs w:val="21"/>
              </w:rPr>
              <w:t>风险点，其余风险点暂停实验，其中有</w:t>
            </w:r>
            <w:r>
              <w:rPr>
                <w:rFonts w:ascii="Times New Roman" w:eastAsia="仿宋" w:hAnsi="Times New Roman" w:cs="Times New Roman"/>
                <w:sz w:val="21"/>
                <w:szCs w:val="21"/>
              </w:rPr>
              <w:t>X</w:t>
            </w:r>
            <w:r>
              <w:rPr>
                <w:rFonts w:ascii="Times New Roman" w:eastAsia="仿宋" w:hAnsi="Times New Roman" w:cs="Times New Roman"/>
                <w:sz w:val="21"/>
                <w:szCs w:val="21"/>
              </w:rPr>
              <w:t>风险点计划在</w:t>
            </w:r>
            <w:r>
              <w:rPr>
                <w:rFonts w:ascii="Times New Roman" w:eastAsia="仿宋" w:hAnsi="Times New Roman" w:cs="Times New Roman"/>
                <w:sz w:val="21"/>
                <w:szCs w:val="21"/>
              </w:rPr>
              <w:t>1</w:t>
            </w:r>
            <w:r>
              <w:rPr>
                <w:rFonts w:ascii="Times New Roman" w:eastAsia="仿宋" w:hAnsi="Times New Roman" w:cs="Times New Roman"/>
                <w:sz w:val="21"/>
                <w:szCs w:val="21"/>
              </w:rPr>
              <w:t>个月内完成处置，</w:t>
            </w:r>
            <w:r>
              <w:rPr>
                <w:rFonts w:ascii="Times New Roman" w:eastAsia="仿宋" w:hAnsi="Times New Roman" w:cs="Times New Roman"/>
                <w:sz w:val="21"/>
                <w:szCs w:val="21"/>
              </w:rPr>
              <w:t>X</w:t>
            </w:r>
            <w:proofErr w:type="gramStart"/>
            <w:r>
              <w:rPr>
                <w:rFonts w:ascii="Times New Roman" w:eastAsia="仿宋" w:hAnsi="Times New Roman" w:cs="Times New Roman"/>
                <w:sz w:val="21"/>
                <w:szCs w:val="21"/>
              </w:rPr>
              <w:t>个</w:t>
            </w:r>
            <w:proofErr w:type="gramEnd"/>
            <w:r>
              <w:rPr>
                <w:rFonts w:ascii="Times New Roman" w:eastAsia="仿宋" w:hAnsi="Times New Roman" w:cs="Times New Roman"/>
                <w:sz w:val="21"/>
                <w:szCs w:val="21"/>
              </w:rPr>
              <w:t>风险点计划在</w:t>
            </w:r>
            <w:r>
              <w:rPr>
                <w:rFonts w:ascii="Times New Roman" w:eastAsia="仿宋" w:hAnsi="Times New Roman" w:cs="Times New Roman"/>
                <w:sz w:val="21"/>
                <w:szCs w:val="21"/>
              </w:rPr>
              <w:t>6</w:t>
            </w:r>
            <w:r>
              <w:rPr>
                <w:rFonts w:ascii="Times New Roman" w:eastAsia="仿宋" w:hAnsi="Times New Roman" w:cs="Times New Roman"/>
                <w:sz w:val="21"/>
                <w:szCs w:val="21"/>
              </w:rPr>
              <w:t>个月内完成处置，</w:t>
            </w:r>
            <w:r>
              <w:rPr>
                <w:rFonts w:ascii="Times New Roman" w:eastAsia="仿宋" w:hAnsi="Times New Roman" w:cs="Times New Roman"/>
                <w:sz w:val="21"/>
                <w:szCs w:val="21"/>
              </w:rPr>
              <w:t>X</w:t>
            </w:r>
            <w:proofErr w:type="gramStart"/>
            <w:r>
              <w:rPr>
                <w:rFonts w:ascii="Times New Roman" w:eastAsia="仿宋" w:hAnsi="Times New Roman" w:cs="Times New Roman"/>
                <w:sz w:val="21"/>
                <w:szCs w:val="21"/>
              </w:rPr>
              <w:t>个</w:t>
            </w:r>
            <w:proofErr w:type="gramEnd"/>
            <w:r>
              <w:rPr>
                <w:rFonts w:ascii="Times New Roman" w:eastAsia="仿宋" w:hAnsi="Times New Roman" w:cs="Times New Roman"/>
                <w:sz w:val="21"/>
                <w:szCs w:val="21"/>
              </w:rPr>
              <w:t>风险点需要制定计划在</w:t>
            </w:r>
            <w:r>
              <w:rPr>
                <w:rFonts w:ascii="Times New Roman" w:eastAsia="仿宋" w:hAnsi="Times New Roman" w:cs="Times New Roman"/>
                <w:sz w:val="21"/>
                <w:szCs w:val="21"/>
              </w:rPr>
              <w:t>6</w:t>
            </w:r>
            <w:r>
              <w:rPr>
                <w:rFonts w:ascii="Times New Roman" w:eastAsia="仿宋" w:hAnsi="Times New Roman" w:cs="Times New Roman"/>
                <w:sz w:val="21"/>
                <w:szCs w:val="21"/>
              </w:rPr>
              <w:t>个月以上时间完成处置。</w:t>
            </w:r>
          </w:p>
        </w:tc>
      </w:tr>
    </w:tbl>
    <w:p w14:paraId="32EDAD5A" w14:textId="77777777" w:rsidR="009A1B49" w:rsidRDefault="00000000">
      <w:pPr>
        <w:spacing w:after="0" w:line="240" w:lineRule="auto"/>
        <w:jc w:val="center"/>
        <w:rPr>
          <w:rFonts w:ascii="仿宋" w:eastAsia="仿宋" w:hAnsi="仿宋" w:hint="eastAsia"/>
          <w:sz w:val="21"/>
          <w:szCs w:val="21"/>
        </w:rPr>
      </w:pPr>
      <w:r>
        <w:rPr>
          <w:rFonts w:ascii="仿宋" w:eastAsia="仿宋" w:hAnsi="仿宋"/>
          <w:sz w:val="21"/>
          <w:szCs w:val="21"/>
        </w:rPr>
        <w:t>备注：如本清单未覆盖高校排查发现的风险，请自行加行列出。</w:t>
      </w:r>
    </w:p>
    <w:sectPr w:rsidR="009A1B49" w:rsidSect="00812638">
      <w:footerReference w:type="even" r:id="rId7"/>
      <w:footerReference w:type="default" r:id="rId8"/>
      <w:pgSz w:w="16838" w:h="11906" w:orient="landscape"/>
      <w:pgMar w:top="1304" w:right="1009" w:bottom="1179" w:left="1009" w:header="851" w:footer="794" w:gutter="0"/>
      <w:pgNumType w:start="5"/>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B386A" w14:textId="77777777" w:rsidR="00507925" w:rsidRDefault="00507925">
      <w:pPr>
        <w:spacing w:line="240" w:lineRule="auto"/>
        <w:rPr>
          <w:rFonts w:hint="eastAsia"/>
        </w:rPr>
      </w:pPr>
      <w:r>
        <w:separator/>
      </w:r>
    </w:p>
  </w:endnote>
  <w:endnote w:type="continuationSeparator" w:id="0">
    <w:p w14:paraId="06AB4CF8" w14:textId="77777777" w:rsidR="00507925" w:rsidRDefault="00507925">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
      </w:rPr>
      <w:id w:val="1278137655"/>
    </w:sdtPr>
    <w:sdtContent>
      <w:p w14:paraId="4192B792" w14:textId="77777777" w:rsidR="009A1B49" w:rsidRDefault="00000000">
        <w:pPr>
          <w:pStyle w:val="a3"/>
          <w:framePr w:wrap="auto" w:vAnchor="text" w:hAnchor="margin" w:xAlign="center" w:y="1"/>
          <w:rPr>
            <w:rStyle w:val="ac"/>
            <w:rFonts w:hint="eastAsia"/>
          </w:rPr>
        </w:pPr>
        <w:r>
          <w:rPr>
            <w:rStyle w:val="ac"/>
          </w:rPr>
          <w:fldChar w:fldCharType="begin"/>
        </w:r>
        <w:r>
          <w:rPr>
            <w:rStyle w:val="ac"/>
          </w:rPr>
          <w:instrText xml:space="preserve"> PAGE </w:instrText>
        </w:r>
        <w:r>
          <w:rPr>
            <w:rStyle w:val="ac"/>
            <w:rFonts w:hint="eastAsia"/>
          </w:rPr>
          <w:fldChar w:fldCharType="separate"/>
        </w:r>
        <w:r>
          <w:rPr>
            <w:rStyle w:val="ac"/>
          </w:rPr>
          <w:fldChar w:fldCharType="end"/>
        </w:r>
      </w:p>
    </w:sdtContent>
  </w:sdt>
  <w:p w14:paraId="349934E8" w14:textId="77777777" w:rsidR="009A1B49" w:rsidRDefault="009A1B49">
    <w:pPr>
      <w:pStyle w:val="a3"/>
      <w:ind w:right="360"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96F5" w14:textId="77777777" w:rsidR="009A1B49" w:rsidRDefault="00000000">
    <w:pPr>
      <w:pStyle w:val="a3"/>
      <w:spacing w:after="0"/>
      <w:rPr>
        <w:rFonts w:hint="eastAsia"/>
      </w:rPr>
    </w:pPr>
    <w:r>
      <w:rPr>
        <w:noProof/>
      </w:rPr>
      <mc:AlternateContent>
        <mc:Choice Requires="wps">
          <w:drawing>
            <wp:anchor distT="0" distB="0" distL="114300" distR="114300" simplePos="0" relativeHeight="251659264" behindDoc="0" locked="0" layoutInCell="1" allowOverlap="1" wp14:anchorId="2580AC86" wp14:editId="263AD489">
              <wp:simplePos x="0" y="0"/>
              <wp:positionH relativeFrom="margin">
                <wp:posOffset>4388485</wp:posOffset>
              </wp:positionH>
              <wp:positionV relativeFrom="paragraph">
                <wp:posOffset>4445</wp:posOffset>
              </wp:positionV>
              <wp:extent cx="904875" cy="1828800"/>
              <wp:effectExtent l="0" t="0" r="9525" b="10795"/>
              <wp:wrapNone/>
              <wp:docPr id="1" name="文本框 1"/>
              <wp:cNvGraphicFramePr/>
              <a:graphic xmlns:a="http://schemas.openxmlformats.org/drawingml/2006/main">
                <a:graphicData uri="http://schemas.microsoft.com/office/word/2010/wordprocessingShape">
                  <wps:wsp>
                    <wps:cNvSpPr txBox="1"/>
                    <wps:spPr>
                      <a:xfrm>
                        <a:off x="0" y="0"/>
                        <a:ext cx="9048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D63FDD" w14:textId="02F43AD3" w:rsidR="009A1B49" w:rsidRDefault="00000000">
                          <w:pPr>
                            <w:pStyle w:val="a3"/>
                            <w:spacing w:after="0"/>
                            <w:rPr>
                              <w:rFonts w:ascii="宋体" w:eastAsia="宋体" w:hAnsi="宋体" w:cs="宋体" w:hint="eastAsia"/>
                              <w:sz w:val="28"/>
                              <w:szCs w:val="28"/>
                            </w:rPr>
                          </w:pP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Pr>
                              <w:rFonts w:ascii="Times New Roman" w:eastAsia="宋体" w:hAnsi="Times New Roman" w:cs="Times New Roman"/>
                              <w:sz w:val="28"/>
                              <w:szCs w:val="28"/>
                            </w:rPr>
                            <w:t>9</w:t>
                          </w:r>
                          <w:r>
                            <w:rPr>
                              <w:rFonts w:ascii="Times New Roman" w:eastAsia="宋体" w:hAnsi="Times New Roman" w:cs="Times New Roman"/>
                              <w:sz w:val="28"/>
                              <w:szCs w:val="28"/>
                            </w:rPr>
                            <w:fldChar w:fldCharType="end"/>
                          </w:r>
                          <w:r w:rsidR="00812638">
                            <w:rPr>
                              <w:rFonts w:ascii="Times New Roman" w:eastAsia="宋体" w:hAnsi="Times New Roman" w:cs="Times New Roman" w:hint="eastAsia"/>
                              <w:sz w:val="28"/>
                              <w:szCs w:val="28"/>
                            </w:rPr>
                            <w:t xml:space="preserve"> </w:t>
                          </w:r>
                          <w:r>
                            <w:rPr>
                              <w:rFonts w:ascii="宋体" w:eastAsia="宋体" w:hAnsi="宋体" w:cs="宋体" w:hint="eastAsia"/>
                              <w:sz w:val="28"/>
                              <w:szCs w:val="28"/>
                            </w:rPr>
                            <w:t>—</w:t>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w14:anchorId="2580AC86" id="_x0000_t202" coordsize="21600,21600" o:spt="202" path="m,l,21600r21600,l21600,xe">
              <v:stroke joinstyle="miter"/>
              <v:path gradientshapeok="t" o:connecttype="rect"/>
            </v:shapetype>
            <v:shape id="文本框 1" o:spid="_x0000_s1026" type="#_x0000_t202" style="position:absolute;margin-left:345.55pt;margin-top:.35pt;width:71.25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" filled="f" stroked="f" strokeweight=".5pt">
              <v:textbox style="mso-fit-shape-to-text:t" inset="0,0,0,0">
                <w:txbxContent>
                  <w:p w14:paraId="1BD63FDD" w14:textId="02F43AD3" w:rsidR="009A1B49" w:rsidRDefault="00000000">
                    <w:pPr>
                      <w:pStyle w:val="a3"/>
                      <w:spacing w:after="0"/>
                      <w:rPr>
                        <w:rFonts w:ascii="宋体" w:eastAsia="宋体" w:hAnsi="宋体" w:cs="宋体" w:hint="eastAsia"/>
                        <w:sz w:val="28"/>
                        <w:szCs w:val="28"/>
                      </w:rPr>
                    </w:pP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Pr>
                        <w:rFonts w:ascii="Times New Roman" w:eastAsia="宋体" w:hAnsi="Times New Roman" w:cs="Times New Roman"/>
                        <w:sz w:val="28"/>
                        <w:szCs w:val="28"/>
                      </w:rPr>
                      <w:t>9</w:t>
                    </w:r>
                    <w:r>
                      <w:rPr>
                        <w:rFonts w:ascii="Times New Roman" w:eastAsia="宋体" w:hAnsi="Times New Roman" w:cs="Times New Roman"/>
                        <w:sz w:val="28"/>
                        <w:szCs w:val="28"/>
                      </w:rPr>
                      <w:fldChar w:fldCharType="end"/>
                    </w:r>
                    <w:r w:rsidR="00812638">
                      <w:rPr>
                        <w:rFonts w:ascii="Times New Roman" w:eastAsia="宋体" w:hAnsi="Times New Roman" w:cs="Times New Roman"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1E3EC" w14:textId="77777777" w:rsidR="00507925" w:rsidRDefault="00507925">
      <w:pPr>
        <w:spacing w:after="0"/>
        <w:rPr>
          <w:rFonts w:hint="eastAsia"/>
        </w:rPr>
      </w:pPr>
      <w:r>
        <w:separator/>
      </w:r>
    </w:p>
  </w:footnote>
  <w:footnote w:type="continuationSeparator" w:id="0">
    <w:p w14:paraId="31F991A9" w14:textId="77777777" w:rsidR="00507925" w:rsidRDefault="00507925">
      <w:pPr>
        <w:spacing w:after="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1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977"/>
    <w:rsid w:val="F9B6143F"/>
    <w:rsid w:val="00243921"/>
    <w:rsid w:val="00354B08"/>
    <w:rsid w:val="00507925"/>
    <w:rsid w:val="00597969"/>
    <w:rsid w:val="0062248F"/>
    <w:rsid w:val="00633ED4"/>
    <w:rsid w:val="0070465D"/>
    <w:rsid w:val="00766977"/>
    <w:rsid w:val="00812638"/>
    <w:rsid w:val="009A1B49"/>
    <w:rsid w:val="00A6675B"/>
    <w:rsid w:val="00B22EDA"/>
    <w:rsid w:val="00D331C0"/>
    <w:rsid w:val="00EC44A7"/>
    <w:rsid w:val="00F0705A"/>
    <w:rsid w:val="4FB010C5"/>
    <w:rsid w:val="563C3B28"/>
    <w:rsid w:val="595D3715"/>
    <w:rsid w:val="72CB1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2DEBF"/>
  <w15:docId w15:val="{2FD1E60E-0C85-4647-9144-99D0BF7D4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uto"/>
    </w:pPr>
    <w:rPr>
      <w:sz w:val="18"/>
      <w:szCs w:val="18"/>
    </w:rPr>
  </w:style>
  <w:style w:type="paragraph" w:styleId="a5">
    <w:name w:val="header"/>
    <w:basedOn w:val="a"/>
    <w:link w:val="a6"/>
    <w:uiPriority w:val="99"/>
    <w:unhideWhenUsed/>
    <w:qFormat/>
    <w:pPr>
      <w:tabs>
        <w:tab w:val="center" w:pos="4153"/>
        <w:tab w:val="right" w:pos="8306"/>
      </w:tabs>
      <w:snapToGrid w:val="0"/>
      <w:spacing w:line="240" w:lineRule="auto"/>
      <w:jc w:val="center"/>
    </w:pPr>
    <w:rPr>
      <w:sz w:val="18"/>
      <w:szCs w:val="18"/>
    </w:rPr>
  </w:style>
  <w:style w:type="paragraph" w:styleId="a7">
    <w:name w:val="Subtitle"/>
    <w:basedOn w:val="a"/>
    <w:next w:val="a"/>
    <w:link w:val="a8"/>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uiPriority w:val="99"/>
    <w:semiHidden/>
    <w:unhideWhenUsed/>
    <w:qFormat/>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jc w:val="center"/>
    </w:pPr>
    <w:rPr>
      <w:i/>
      <w:iCs/>
      <w:color w:val="404040" w:themeColor="text1" w:themeTint="BF"/>
    </w:rPr>
  </w:style>
  <w:style w:type="character" w:customStyle="1" w:styleId="ae">
    <w:name w:val="引用 字符"/>
    <w:basedOn w:val="a0"/>
    <w:link w:val="ad"/>
    <w:uiPriority w:val="29"/>
    <w:qFormat/>
    <w:rPr>
      <w:i/>
      <w:iCs/>
      <w:color w:val="404040" w:themeColor="text1" w:themeTint="BF"/>
    </w:rPr>
  </w:style>
  <w:style w:type="paragraph" w:styleId="af">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0">
    <w:name w:val="Intense Quote"/>
    <w:basedOn w:val="a"/>
    <w:next w:val="a"/>
    <w:link w:val="af1"/>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1">
    <w:name w:val="明显引用 字符"/>
    <w:basedOn w:val="a0"/>
    <w:link w:val="af0"/>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4">
    <w:name w:val="页脚 字符"/>
    <w:basedOn w:val="a0"/>
    <w:link w:val="a3"/>
    <w:uiPriority w:val="99"/>
    <w:qFormat/>
    <w:rPr>
      <w:sz w:val="18"/>
      <w:szCs w:val="18"/>
    </w:rPr>
  </w:style>
  <w:style w:type="character" w:customStyle="1" w:styleId="a6">
    <w:name w:val="页眉 字符"/>
    <w:basedOn w:val="a0"/>
    <w:link w:val="a5"/>
    <w:uiPriority w:val="99"/>
    <w:qFormat/>
    <w:rPr>
      <w:sz w:val="18"/>
      <w:szCs w:val="18"/>
    </w:rPr>
  </w:style>
  <w:style w:type="character" w:customStyle="1" w:styleId="font41">
    <w:name w:val="font41"/>
    <w:basedOn w:val="a0"/>
    <w:qFormat/>
    <w:rPr>
      <w:rFonts w:ascii="仿宋_GB2312" w:eastAsia="仿宋_GB2312" w:cs="仿宋_GB2312" w:hint="eastAsia"/>
      <w:color w:val="000000"/>
      <w:sz w:val="40"/>
      <w:szCs w:val="40"/>
      <w:u w:val="none"/>
    </w:rPr>
  </w:style>
  <w:style w:type="character" w:customStyle="1" w:styleId="font51">
    <w:name w:val="font51"/>
    <w:basedOn w:val="a0"/>
    <w:qFormat/>
    <w:rPr>
      <w:rFonts w:ascii="Times New Roman" w:hAnsi="Times New Roman" w:cs="Times New Roman" w:hint="default"/>
      <w:color w:val="000000"/>
      <w:sz w:val="40"/>
      <w:szCs w:val="40"/>
      <w:u w:val="none"/>
    </w:rPr>
  </w:style>
  <w:style w:type="character" w:customStyle="1" w:styleId="font71">
    <w:name w:val="font71"/>
    <w:basedOn w:val="a0"/>
    <w:qFormat/>
    <w:rPr>
      <w:rFonts w:ascii="Times New Roman" w:hAnsi="Times New Roman" w:cs="Times New Roman" w:hint="default"/>
      <w:color w:val="000000"/>
      <w:sz w:val="38"/>
      <w:szCs w:val="38"/>
      <w:u w:val="none"/>
    </w:rPr>
  </w:style>
  <w:style w:type="character" w:customStyle="1" w:styleId="font61">
    <w:name w:val="font61"/>
    <w:basedOn w:val="a0"/>
    <w:qFormat/>
    <w:rPr>
      <w:rFonts w:ascii="仿宋_GB2312" w:eastAsia="仿宋_GB2312" w:cs="仿宋_GB2312" w:hint="eastAsia"/>
      <w:color w:val="000000"/>
      <w:sz w:val="38"/>
      <w:szCs w:val="38"/>
      <w:u w:val="none"/>
    </w:rPr>
  </w:style>
  <w:style w:type="character" w:customStyle="1" w:styleId="font81">
    <w:name w:val="font81"/>
    <w:basedOn w:val="a0"/>
    <w:qFormat/>
    <w:rPr>
      <w:rFonts w:ascii="Arial" w:hAnsi="Arial" w:cs="Arial"/>
      <w:color w:val="000000"/>
      <w:sz w:val="38"/>
      <w:szCs w:val="3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1315</Words>
  <Characters>7502</Characters>
  <Application>Microsoft Office Word</Application>
  <DocSecurity>0</DocSecurity>
  <Lines>62</Lines>
  <Paragraphs>17</Paragraphs>
  <ScaleCrop>false</ScaleCrop>
  <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沈子靖</dc:creator>
  <cp:lastModifiedBy>lenovo</cp:lastModifiedBy>
  <cp:revision>7</cp:revision>
  <cp:lastPrinted>2026-04-20T10:36:00Z</cp:lastPrinted>
  <dcterms:created xsi:type="dcterms:W3CDTF">2026-04-20T10:29:00Z</dcterms:created>
  <dcterms:modified xsi:type="dcterms:W3CDTF">2026-05-06T01:15:00Z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eyJoZGlkIjoiZDJiNGIyZmI2ZDU4NzBiMTU0YzdlYjY0ZWM5ZTQ5MzMiLCJ1c2VySWQiOiIxMjQzNzQyNDMwIn0=</vt:lpwstr>
  </property>
  <property fmtid="{D5CDD505-2E9C-101B-9397-08002B2CF9AE}" pid="3" name="KSOProductBuildVer">
    <vt:lpwstr>2052-12.1.0.24034</vt:lpwstr>
  </property>
  <property fmtid="{D5CDD505-2E9C-101B-9397-08002B2CF9AE}" pid="4" name="ICV">
    <vt:lpwstr>676F96D584A99F39D929E769C465AA9D</vt:lpwstr>
  </property>
</Properties>
</file>