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</w:p>
    <w:p>
      <w:pPr>
        <w:snapToGrid w:val="0"/>
        <w:spacing w:line="312" w:lineRule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Times New Roman"/>
          <w:b/>
          <w:sz w:val="48"/>
          <w:szCs w:val="48"/>
          <w:lang w:val="en-US" w:eastAsia="zh-CN"/>
        </w:rPr>
        <w:t>特色专业建设项目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Times New Roman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84"/>
          <w:szCs w:val="84"/>
          <w:lang w:val="en-US" w:eastAsia="zh-CN"/>
        </w:rPr>
      </w:pPr>
      <w:bookmarkStart w:id="0" w:name="_GoBack"/>
      <w:r>
        <w:rPr>
          <w:rStyle w:val="6"/>
          <w:rFonts w:hint="eastAsia" w:ascii="黑体" w:eastAsia="黑体"/>
          <w:sz w:val="60"/>
          <w:szCs w:val="60"/>
        </w:rPr>
        <w:t>专业建设状态数据表</w:t>
      </w:r>
      <w:bookmarkEnd w:id="0"/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1440" w:firstLineChars="400"/>
        <w:rPr>
          <w:rFonts w:hint="eastAsia"/>
          <w:sz w:val="36"/>
          <w:szCs w:val="36"/>
        </w:rPr>
      </w:pP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专业名称：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>
      <w:pPr>
        <w:spacing w:line="480" w:lineRule="auto"/>
        <w:ind w:firstLine="1440" w:firstLineChars="400"/>
        <w:rPr>
          <w:rFonts w:hint="default" w:eastAsia="宋体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所</w:t>
      </w:r>
      <w:r>
        <w:rPr>
          <w:rFonts w:hint="eastAsia"/>
          <w:sz w:val="36"/>
          <w:szCs w:val="36"/>
          <w:lang w:val="en-US" w:eastAsia="zh-CN"/>
        </w:rPr>
        <w:t>属学院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>专业代码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>专业</w:t>
      </w:r>
      <w:r>
        <w:rPr>
          <w:rFonts w:hint="eastAsia"/>
          <w:sz w:val="36"/>
          <w:szCs w:val="36"/>
        </w:rPr>
        <w:t>负责人：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联系方式：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>
      <w:pPr>
        <w:spacing w:line="480" w:lineRule="auto"/>
        <w:rPr>
          <w:rFonts w:hint="eastAsia"/>
          <w:sz w:val="36"/>
          <w:szCs w:val="36"/>
          <w:u w:val="single"/>
        </w:rPr>
      </w:pPr>
      <w:r>
        <w:rPr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立项时间：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36"/>
          <w:szCs w:val="36"/>
          <w:u w:val="single"/>
        </w:rPr>
        <w:t xml:space="preserve">     </w:t>
      </w:r>
    </w:p>
    <w:p>
      <w:pPr>
        <w:spacing w:line="480" w:lineRule="auto"/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ind w:firstLine="3080" w:firstLineChars="1100"/>
        <w:jc w:val="both"/>
        <w:rPr>
          <w:rFonts w:hint="eastAsia"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 xml:space="preserve">信息工程学院 </w:t>
      </w:r>
      <w:r>
        <w:rPr>
          <w:rFonts w:hint="eastAsia" w:eastAsia="黑体"/>
          <w:sz w:val="28"/>
        </w:rPr>
        <w:t>教务</w:t>
      </w:r>
      <w:r>
        <w:rPr>
          <w:rFonts w:hint="eastAsia" w:eastAsia="黑体"/>
          <w:sz w:val="28"/>
          <w:lang w:val="en-US" w:eastAsia="zh-CN"/>
        </w:rPr>
        <w:t>部</w:t>
      </w:r>
    </w:p>
    <w:p>
      <w:pPr>
        <w:jc w:val="center"/>
        <w:rPr>
          <w:rStyle w:val="6"/>
          <w:rFonts w:hint="default" w:ascii="黑体" w:hAnsi="黑体" w:eastAsia="黑体"/>
          <w:sz w:val="44"/>
          <w:szCs w:val="44"/>
          <w:lang w:val="en-US"/>
        </w:rPr>
      </w:pPr>
      <w:r>
        <w:rPr>
          <w:rFonts w:hint="eastAsia" w:eastAsia="黑体"/>
          <w:sz w:val="28"/>
          <w:lang w:val="en-US" w:eastAsia="zh-CN"/>
        </w:rPr>
        <w:t xml:space="preserve">   </w:t>
      </w:r>
      <w:r>
        <w:rPr>
          <w:rFonts w:hint="eastAsia" w:eastAsia="黑体"/>
          <w:sz w:val="28"/>
        </w:rPr>
        <w:t>二○</w:t>
      </w:r>
      <w:r>
        <w:rPr>
          <w:rFonts w:hint="eastAsia" w:eastAsia="黑体"/>
          <w:sz w:val="28"/>
          <w:lang w:val="en-US" w:eastAsia="zh-CN"/>
        </w:rPr>
        <w:t>二〇</w:t>
      </w:r>
      <w:r>
        <w:rPr>
          <w:rFonts w:hint="eastAsia" w:eastAsia="黑体"/>
          <w:sz w:val="28"/>
        </w:rPr>
        <w:t>年</w:t>
      </w:r>
      <w:r>
        <w:rPr>
          <w:rFonts w:hint="eastAsia" w:eastAsia="黑体"/>
          <w:sz w:val="28"/>
          <w:lang w:val="en-US" w:eastAsia="zh-CN"/>
        </w:rPr>
        <w:t>十二月制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69"/>
        <w:gridCol w:w="692"/>
        <w:gridCol w:w="1275"/>
        <w:gridCol w:w="127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3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275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立项时</w:t>
            </w:r>
          </w:p>
        </w:tc>
        <w:tc>
          <w:tcPr>
            <w:tcW w:w="1276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789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0"/>
                <w:szCs w:val="20"/>
              </w:rPr>
              <w:t>填报</w:t>
            </w: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招生情况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当年在校生人数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按年度填写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，学生数据填报截止时间为当年年底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当年新生实际报到数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当年第一志愿报考率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师资状况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专任教师数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按年度填写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，教师数据填报截止时间为当年年底，教授上课按当年度两个学期统计，20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年统计的为201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-20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-2和20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-20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-1学期。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教授数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教授为本科生授课占比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副教授数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拥有博士学位教师数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专任教师国（境）外三个月以上占比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cs="Times New Roman"/>
                <w:color w:val="000000"/>
                <w:sz w:val="20"/>
                <w:szCs w:val="20"/>
              </w:rPr>
              <w:t>双师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cs="Times New Roman"/>
                <w:color w:val="000000"/>
                <w:sz w:val="20"/>
                <w:szCs w:val="20"/>
              </w:rPr>
              <w:t>型教师数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兼职教师数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培养方案与课程体系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毕业最低学分</w:t>
            </w:r>
            <w:r>
              <w:rPr>
                <w:rFonts w:hint="eastAsia" w:ascii="Times New Roman" w:cs="Times New Roman"/>
                <w:color w:val="000000"/>
                <w:sz w:val="20"/>
                <w:szCs w:val="20"/>
              </w:rPr>
              <w:t>（课内）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根据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  <w:lang w:val="en-US" w:eastAsia="zh-CN"/>
              </w:rPr>
              <w:t>最新的</w:t>
            </w: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专业人才培养方案填写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其中公共基础课课程学分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专业必修课程学分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实践类教学环节学分</w:t>
            </w:r>
            <w:r>
              <w:rPr>
                <w:rFonts w:hint="eastAsia" w:ascii="Times New Roman" w:cs="Times New Roman"/>
                <w:color w:val="000000"/>
                <w:sz w:val="18"/>
                <w:szCs w:val="18"/>
              </w:rPr>
              <w:t>（含独立设置和课内外实践环节</w:t>
            </w:r>
            <w:r>
              <w:rPr>
                <w:rFonts w:hint="eastAsia" w:ascii="Times New Roman" w:cs="Times New Roman"/>
                <w:color w:val="000000"/>
                <w:sz w:val="20"/>
                <w:szCs w:val="20"/>
              </w:rPr>
              <w:t>）内）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实践学分占总学分比例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小班化教学学时占当期总学时的比例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选修课学分占总学分比例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分层分类教学课程占当期课程总数比例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实验、实践教学条件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独立设置实验课程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门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按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当</w:t>
            </w: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年度</w:t>
            </w: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两学期开设的实验课程</w:t>
            </w:r>
            <w: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综合性、创新性、设计类实验项目数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省级及以上教学实验示范中心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按累计到当年年底的数据填写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省级及以上的教学实践基地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校级以上校外实习基地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563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275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立项时</w:t>
            </w:r>
          </w:p>
        </w:tc>
        <w:tc>
          <w:tcPr>
            <w:tcW w:w="1276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2020年</w:t>
            </w:r>
          </w:p>
        </w:tc>
        <w:tc>
          <w:tcPr>
            <w:tcW w:w="1789" w:type="dxa"/>
            <w:shd w:val="clear" w:color="auto" w:fill="99CC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</w:rPr>
              <w:t>填报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课程、教材、教学改革与成果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省级及以上课程建设项目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按截止当年年底的累计数据填写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省级及以上教材建设项目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省级及以上教改项目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校级各类教学改革项目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获校级教学成果奖数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获省级教学成果奖数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获国家级教学成果奖数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教师发表教改论文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学生创新成果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省级及以上学科竞赛获奖数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申请专利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公开发表论文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其他省级及以上各类荣誉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就业情况与质量</w:t>
            </w: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毕业生人数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根据省教育评估院调查统计，按年度填写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就业率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升学率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毕业生起薪水平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专业对口相关度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毕业一年内离职率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毕业生对教学的满意度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学生国（境）外交流学习数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按年度填写，学生数据填报截止时间为当年年底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在校外国留学生数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6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cs="Times New Roman"/>
                <w:color w:val="000000"/>
                <w:sz w:val="20"/>
                <w:szCs w:val="20"/>
              </w:rPr>
              <w:t>用人单位对毕业生的满意度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280" w:lineRule="exact"/>
              <w:jc w:val="both"/>
              <w:rPr>
                <w:rFonts w:ascii="Times New Roman" w:hAnsi="Times New Roman" w:eastAsia="仿宋" w:cs="Times New Roman"/>
                <w:iCs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iCs/>
                <w:sz w:val="20"/>
                <w:szCs w:val="20"/>
              </w:rPr>
              <w:t>填写各专业自行调查数据</w:t>
            </w:r>
          </w:p>
        </w:tc>
      </w:tr>
    </w:tbl>
    <w:p>
      <w:pPr>
        <w:jc w:val="both"/>
        <w:rPr>
          <w:rFonts w:hint="eastAsia" w:ascii="Times New Roman" w:hAnsi="Times New Roman" w:eastAsia="仿宋" w:cs="Times New Roman"/>
          <w:iCs/>
          <w:sz w:val="20"/>
          <w:szCs w:val="20"/>
        </w:rPr>
      </w:pPr>
      <w:r>
        <w:rPr>
          <w:rFonts w:hint="eastAsia" w:ascii="Times New Roman" w:hAnsi="Times New Roman" w:eastAsia="仿宋" w:cs="Times New Roman"/>
          <w:iCs/>
          <w:sz w:val="20"/>
          <w:szCs w:val="20"/>
        </w:rPr>
        <w:t>其它备注：“双师”型教师是</w:t>
      </w:r>
      <w:r>
        <w:rPr>
          <w:rFonts w:ascii="Times New Roman" w:hAnsi="Times New Roman" w:eastAsia="仿宋" w:cs="Times New Roman"/>
          <w:iCs/>
          <w:sz w:val="20"/>
          <w:szCs w:val="20"/>
        </w:rPr>
        <w:t>指高等学校中具有中级及以上教师职称，又具备下列条件之一的专业课教师：（1）有本专业实际工作的中级及以上技术职称（含行业特许的资格证书、有专业资格或专业技能考评员资格者）。（2）近五年中有两年以上（可累计计算）在企业第一线从事本专业实际工作的经历，或参加教育部组织的教师专业技能培训且获得合格证书，能全面指导学生专业实践实训活动。（3）近五年主持（或主要参与）两项应用技术研究（或两项校内实践教学设施建设及提升技术水平的设计安装工作），成果已被企业（学校）使用，达到同行业（学校）中先进水平。</w:t>
      </w:r>
    </w:p>
    <w:p>
      <w:pPr>
        <w:snapToGrid w:val="0"/>
        <w:spacing w:line="312" w:lineRule="auto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21803"/>
    <w:rsid w:val="54D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2020-11-20T07:07:00Z</dcterms:created>
  <dc:creator>WPS_1508029168</dc:creator>
  <cp:lastModifiedBy>WPS_1508029168</cp:lastModifiedBy>
  <dcterms:modified xsi:type="dcterms:W3CDTF">2020-11-20T07:22:28Z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