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FAF5C" w14:textId="77777777" w:rsidR="00594060" w:rsidRDefault="003650A0" w:rsidP="009A1FF8">
      <w:pPr>
        <w:spacing w:line="360" w:lineRule="auto"/>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机动车排放检验行为分析</w:t>
      </w:r>
    </w:p>
    <w:p w14:paraId="5A170C60" w14:textId="77777777" w:rsidR="00594060" w:rsidRDefault="003650A0" w:rsidP="009A1FF8">
      <w:pPr>
        <w:pStyle w:val="2"/>
        <w:widowControl w:val="0"/>
        <w:spacing w:before="0" w:after="0" w:line="360" w:lineRule="auto"/>
        <w:jc w:val="both"/>
        <w:rPr>
          <w:rFonts w:ascii="宋体" w:hAnsi="宋体"/>
          <w:bCs w:val="0"/>
          <w:color w:val="000000"/>
          <w:kern w:val="2"/>
          <w:sz w:val="28"/>
          <w:szCs w:val="28"/>
        </w:rPr>
      </w:pPr>
      <w:r>
        <w:rPr>
          <w:rFonts w:ascii="宋体" w:hAnsi="宋体" w:hint="eastAsia"/>
          <w:bCs w:val="0"/>
          <w:color w:val="000000"/>
          <w:kern w:val="2"/>
          <w:sz w:val="28"/>
          <w:szCs w:val="28"/>
        </w:rPr>
        <w:t>【命题企业介绍】</w:t>
      </w:r>
    </w:p>
    <w:p w14:paraId="45F32A43" w14:textId="77777777" w:rsidR="009A1FF8" w:rsidRPr="009A1FF8" w:rsidRDefault="009A1FF8" w:rsidP="009A1FF8">
      <w:pPr>
        <w:snapToGrid w:val="0"/>
        <w:spacing w:line="360" w:lineRule="auto"/>
        <w:ind w:firstLineChars="200" w:firstLine="480"/>
        <w:rPr>
          <w:rFonts w:ascii="宋体" w:eastAsia="宋体" w:hAnsi="宋体" w:cs="宋体"/>
          <w:color w:val="000000"/>
          <w:sz w:val="24"/>
          <w:szCs w:val="24"/>
        </w:rPr>
      </w:pPr>
      <w:r w:rsidRPr="009A1FF8">
        <w:rPr>
          <w:rFonts w:ascii="宋体" w:eastAsia="宋体" w:hAnsi="宋体" w:cs="宋体" w:hint="eastAsia"/>
          <w:color w:val="000000"/>
          <w:sz w:val="24"/>
          <w:szCs w:val="24"/>
        </w:rPr>
        <w:t>杭州商旅数字经济发展有限公司是杭州市商贸旅游集团有限公司下属全资子公司，是集团数字经济领域的产业发展平台和集团数字化项目的建设运营主体，是集团推动“数字商旅”建设，探索高质量发展的中坚力量。公司紧紧围绕杭州建设中国数字治理第一城和三化融合发展目标，根据“数字商旅”建设整体要求，着力打造项目建设、数字运营、产业发展“三大平台”，实现赋能传统产业和集团系统企业目标，不断打造企业核心竞争力。</w:t>
      </w:r>
    </w:p>
    <w:p w14:paraId="4142A24E" w14:textId="5220A597" w:rsidR="00594060" w:rsidRPr="009A1FF8" w:rsidRDefault="009A1FF8" w:rsidP="009A1FF8">
      <w:pPr>
        <w:snapToGrid w:val="0"/>
        <w:spacing w:line="360" w:lineRule="auto"/>
        <w:ind w:firstLineChars="200" w:firstLine="480"/>
        <w:rPr>
          <w:rFonts w:ascii="宋体" w:eastAsia="宋体" w:hAnsi="宋体" w:cs="宋体"/>
          <w:color w:val="000000"/>
          <w:sz w:val="24"/>
          <w:szCs w:val="24"/>
        </w:rPr>
      </w:pPr>
      <w:r w:rsidRPr="009A1FF8">
        <w:rPr>
          <w:rFonts w:ascii="宋体" w:eastAsia="宋体" w:hAnsi="宋体" w:cs="宋体" w:hint="eastAsia"/>
          <w:color w:val="000000"/>
          <w:sz w:val="24"/>
          <w:szCs w:val="24"/>
        </w:rPr>
        <w:t>公司于2019年1月22日注册成立，现有注册资本金8000万元，拥有商旅在线（出资占比34%）、商旅电商（出资占比10%）、商旅智旅（出资占比40%）三家子公司及城市大脑应用科技（商旅智旅出资占比15%）一家孙公司。公司内部已形成三大利润中心（DICT事业部、商旅云事业部、会员运营事业部），四大职能部门（综合管理部、财务部、合约采购部、审计合规部）及两大共享中心（资源开发中心、数智创新中心），并通过外聘技术专家顾问等形式，形成共享联动与赋能机制，借力外脑助推数字商旅建设。</w:t>
      </w:r>
    </w:p>
    <w:p w14:paraId="3459659A" w14:textId="77777777" w:rsidR="00594060" w:rsidRDefault="003650A0" w:rsidP="009A1FF8">
      <w:pPr>
        <w:pStyle w:val="2"/>
        <w:widowControl w:val="0"/>
        <w:spacing w:before="0" w:after="0" w:line="360" w:lineRule="auto"/>
        <w:jc w:val="both"/>
        <w:rPr>
          <w:rFonts w:ascii="宋体" w:hAnsi="宋体"/>
          <w:bCs w:val="0"/>
          <w:color w:val="000000"/>
          <w:kern w:val="2"/>
          <w:sz w:val="28"/>
          <w:szCs w:val="28"/>
        </w:rPr>
      </w:pPr>
      <w:r>
        <w:rPr>
          <w:rFonts w:ascii="宋体" w:hAnsi="宋体" w:hint="eastAsia"/>
          <w:bCs w:val="0"/>
          <w:color w:val="000000"/>
          <w:kern w:val="2"/>
          <w:sz w:val="28"/>
          <w:szCs w:val="28"/>
        </w:rPr>
        <w:t>1.项目背景说明</w:t>
      </w:r>
    </w:p>
    <w:p w14:paraId="649B818F" w14:textId="77777777" w:rsidR="00594060" w:rsidRDefault="003650A0" w:rsidP="009A1FF8">
      <w:pPr>
        <w:spacing w:line="360" w:lineRule="auto"/>
        <w:rPr>
          <w:rFonts w:ascii="宋体" w:hAnsi="宋体"/>
          <w:b/>
          <w:sz w:val="28"/>
          <w:szCs w:val="28"/>
        </w:rPr>
      </w:pPr>
      <w:r>
        <w:rPr>
          <w:rFonts w:ascii="宋体" w:hAnsi="宋体" w:hint="eastAsia"/>
          <w:b/>
          <w:sz w:val="28"/>
          <w:szCs w:val="28"/>
        </w:rPr>
        <w:t>【整体背景】</w:t>
      </w:r>
    </w:p>
    <w:p w14:paraId="3CC64921" w14:textId="77777777" w:rsidR="00594060" w:rsidRDefault="003650A0" w:rsidP="009A1FF8">
      <w:pPr>
        <w:widowControl/>
        <w:spacing w:line="360" w:lineRule="auto"/>
        <w:ind w:firstLine="480"/>
        <w:jc w:val="left"/>
        <w:rPr>
          <w:rFonts w:ascii="宋体" w:eastAsia="宋体" w:hAnsi="宋体" w:cs="宋体"/>
          <w:kern w:val="0"/>
          <w:sz w:val="24"/>
          <w:szCs w:val="24"/>
        </w:rPr>
      </w:pPr>
      <w:r>
        <w:rPr>
          <w:rFonts w:ascii="宋体" w:eastAsia="宋体" w:hAnsi="宋体" w:cs="宋体" w:hint="eastAsia"/>
          <w:color w:val="000000"/>
          <w:sz w:val="24"/>
          <w:szCs w:val="24"/>
        </w:rPr>
        <w:t>监测数据显示，近年二氧化氮排放量有反弹趋势，存在超标风险，臭氧指标持续上升，已经超过了标准。此外，从路边检测和入户抽测调研情况看，各地柴油货车排放超标率在20％～30％，这说明我国机动车尾气污染问题依然很严重，二氧化氮和臭氧污染问题越来越突出。有些新车上路后不久出现冒黑烟的现象。生态环境部相关人士表示，未来以实际道路排放检测作为新车排放达标检测手段。这意味着今后不仅要通过台架试验，还将进行道路实际检测。</w:t>
      </w:r>
      <w:r>
        <w:rPr>
          <w:rFonts w:ascii="宋体" w:eastAsia="宋体" w:hAnsi="宋体" w:cs="宋体" w:hint="eastAsia"/>
          <w:sz w:val="24"/>
          <w:szCs w:val="24"/>
          <w:shd w:val="clear" w:color="auto" w:fill="FFFFFF"/>
        </w:rPr>
        <w:t>充分利用自动化高科技手段，对新车上牌、环保分类标志管理、超标车辆查处与维修治理、车辆淘汰报废以及定期与不定期检测等污染防治的各个管理环节，优化和创新管理模式，最大程度提高监管质量、执法效率和服务水平。</w:t>
      </w:r>
    </w:p>
    <w:p w14:paraId="1DF04C56" w14:textId="77777777" w:rsidR="00594060" w:rsidRDefault="003650A0" w:rsidP="009A1FF8">
      <w:pPr>
        <w:pStyle w:val="a6"/>
        <w:spacing w:line="360" w:lineRule="auto"/>
        <w:rPr>
          <w:rFonts w:ascii="宋体" w:eastAsia="宋体" w:hAnsi="宋体"/>
          <w:b/>
          <w:sz w:val="28"/>
          <w:szCs w:val="28"/>
        </w:rPr>
      </w:pPr>
      <w:r>
        <w:rPr>
          <w:rFonts w:ascii="宋体" w:eastAsia="宋体" w:hAnsi="宋体" w:hint="eastAsia"/>
          <w:b/>
          <w:sz w:val="28"/>
          <w:szCs w:val="28"/>
        </w:rPr>
        <w:t>2.项目说明</w:t>
      </w:r>
    </w:p>
    <w:p w14:paraId="26AD2E73" w14:textId="77777777" w:rsidR="00594060" w:rsidRDefault="003650A0" w:rsidP="009A1FF8">
      <w:pPr>
        <w:spacing w:line="360" w:lineRule="auto"/>
        <w:rPr>
          <w:rFonts w:ascii="宋体" w:hAnsi="宋体"/>
          <w:b/>
          <w:sz w:val="28"/>
          <w:szCs w:val="28"/>
        </w:rPr>
      </w:pPr>
      <w:r>
        <w:rPr>
          <w:rFonts w:ascii="宋体" w:hAnsi="宋体" w:hint="eastAsia"/>
          <w:b/>
          <w:sz w:val="28"/>
          <w:szCs w:val="28"/>
        </w:rPr>
        <w:t>【问题说明】</w:t>
      </w:r>
    </w:p>
    <w:p w14:paraId="73DDA392" w14:textId="76984CCA" w:rsidR="00594060" w:rsidRPr="009A1FF8" w:rsidRDefault="003650A0" w:rsidP="009A1FF8">
      <w:pPr>
        <w:pStyle w:val="a6"/>
        <w:spacing w:line="360" w:lineRule="auto"/>
        <w:ind w:firstLine="420"/>
        <w:rPr>
          <w:rFonts w:eastAsia="宋体"/>
          <w:sz w:val="24"/>
          <w:szCs w:val="24"/>
        </w:rPr>
      </w:pPr>
      <w:r>
        <w:rPr>
          <w:rFonts w:hint="eastAsia"/>
          <w:sz w:val="24"/>
          <w:szCs w:val="24"/>
        </w:rPr>
        <w:lastRenderedPageBreak/>
        <w:t>进一步规范机动车检测流程、避免违规车辆、超标车辆流入社会，</w:t>
      </w:r>
      <w:r>
        <w:rPr>
          <w:rFonts w:ascii="宋体" w:eastAsia="宋体" w:hAnsi="宋体" w:cs="宋体" w:hint="eastAsia"/>
          <w:sz w:val="24"/>
          <w:szCs w:val="24"/>
          <w:shd w:val="clear" w:color="auto" w:fill="FFFFFF"/>
        </w:rPr>
        <w:t>实时监控机动车尾气检测全过程，通过严格的管理和控制，将尾气监测参数的数据信息、车量基本信息、机动车车辆图像等内容分别以模块形式进行展示，并提供实时视频监控功能，有效防止检测过程中的弄虚作假行为，监督和保证检测机构提供科学、公正、准确的检测数据，确保数据采集的规范性、真实性、准确性，使超标车辆得到及时有效的查处和维修治理，全面提升监管水平。</w:t>
      </w:r>
    </w:p>
    <w:p w14:paraId="18D91DA4" w14:textId="77777777" w:rsidR="00594060" w:rsidRDefault="003650A0" w:rsidP="009A1FF8">
      <w:pPr>
        <w:widowControl/>
        <w:spacing w:line="360" w:lineRule="auto"/>
        <w:jc w:val="left"/>
        <w:rPr>
          <w:rFonts w:ascii="宋体" w:hAnsi="宋体"/>
          <w:b/>
          <w:sz w:val="28"/>
          <w:szCs w:val="28"/>
        </w:rPr>
      </w:pPr>
      <w:r>
        <w:rPr>
          <w:rFonts w:ascii="宋体" w:hAnsi="宋体" w:hint="eastAsia"/>
          <w:b/>
          <w:sz w:val="28"/>
          <w:szCs w:val="28"/>
        </w:rPr>
        <w:t>【用户期望】</w:t>
      </w:r>
    </w:p>
    <w:p w14:paraId="5C52CAF5" w14:textId="77777777" w:rsidR="00594060" w:rsidRDefault="003650A0" w:rsidP="009A1FF8">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检验行为分析基于机动车上线检测监控视频，</w:t>
      </w:r>
      <w:r>
        <w:rPr>
          <w:rFonts w:asciiTheme="minorEastAsia" w:hAnsiTheme="minorEastAsia" w:cstheme="minorEastAsia" w:hint="eastAsia"/>
          <w:spacing w:val="2"/>
          <w:sz w:val="24"/>
          <w:szCs w:val="24"/>
        </w:rPr>
        <w:t>通过构建视频智能分析模型及特征库，</w:t>
      </w:r>
      <w:r>
        <w:rPr>
          <w:rFonts w:asciiTheme="minorEastAsia" w:hAnsiTheme="minorEastAsia" w:cstheme="minorEastAsia" w:hint="eastAsia"/>
          <w:sz w:val="24"/>
          <w:szCs w:val="24"/>
        </w:rPr>
        <w:t>利用视频分析识别手段，实现机动车年检行为和视频数据联动分析，识别出机动车排放检验的异常行为并报警，便于管理人员进行及时有效处理。需要对以下不同异常行为类别进行识别：</w:t>
      </w:r>
    </w:p>
    <w:p w14:paraId="6F41038D"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（1）对排气筒画面缺失或者显示不全的情况进行视频智能识别。</w:t>
      </w:r>
    </w:p>
    <w:p w14:paraId="2C321D4D"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（2）针对柴油车手持视频终端进行移动视频拍摄无视频画面行为进行视频智能识别。</w:t>
      </w:r>
    </w:p>
    <w:p w14:paraId="199AEE2A" w14:textId="77777777" w:rsidR="00594060" w:rsidRDefault="003650A0" w:rsidP="009A1FF8">
      <w:pPr>
        <w:numPr>
          <w:ilvl w:val="0"/>
          <w:numId w:val="1"/>
        </w:num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针对检测车辆的汽车尾气黑烟现象进行视频智能识别。</w:t>
      </w:r>
    </w:p>
    <w:p w14:paraId="67AF76E8" w14:textId="77777777" w:rsidR="00594060" w:rsidRDefault="003650A0" w:rsidP="009A1FF8">
      <w:pPr>
        <w:numPr>
          <w:ilvl w:val="0"/>
          <w:numId w:val="1"/>
        </w:num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支持提取上传视频中的车牌号信息供系统对比应用。</w:t>
      </w:r>
    </w:p>
    <w:p w14:paraId="51717E38"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（5）针对后续排队检测车辆遮挡正在检测车辆信息的现象进行视频智能识别。</w:t>
      </w:r>
    </w:p>
    <w:p w14:paraId="0A03FF51"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（6）针对提前抽离采样管的行为进行视频智能识别。</w:t>
      </w:r>
    </w:p>
    <w:p w14:paraId="56667927" w14:textId="77777777" w:rsidR="00594060" w:rsidRDefault="003650A0" w:rsidP="009A1FF8">
      <w:pPr>
        <w:numPr>
          <w:ilvl w:val="0"/>
          <w:numId w:val="2"/>
        </w:num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针对采样管上的标识没有完全插入排气筒的行为进行视频智能识别。</w:t>
      </w:r>
    </w:p>
    <w:p w14:paraId="3442A5E2"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（8）针对两个或者多个排气口车辆没有同时插入采样器的行为进行视频智能识别。</w:t>
      </w:r>
    </w:p>
    <w:p w14:paraId="7BE2AB56" w14:textId="77777777" w:rsidR="00594060" w:rsidRDefault="003650A0" w:rsidP="009A1FF8">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（9）针对引导员上车后不足标准规定时间（一般规定1分钟左右）就下车的行为进行视频智能识别分析。</w:t>
      </w:r>
    </w:p>
    <w:p w14:paraId="41D3F316" w14:textId="77777777" w:rsidR="00594060" w:rsidRDefault="003650A0" w:rsidP="009A1FF8">
      <w:pPr>
        <w:widowControl/>
        <w:spacing w:line="360" w:lineRule="auto"/>
        <w:ind w:firstLine="420"/>
        <w:jc w:val="left"/>
        <w:rPr>
          <w:rFonts w:asciiTheme="minorEastAsia" w:hAnsiTheme="minorEastAsia" w:cstheme="minorEastAsia"/>
          <w:kern w:val="0"/>
          <w:sz w:val="24"/>
          <w:szCs w:val="24"/>
        </w:rPr>
      </w:pPr>
      <w:r>
        <w:rPr>
          <w:rFonts w:asciiTheme="minorEastAsia" w:hAnsiTheme="minorEastAsia" w:cstheme="minorEastAsia" w:hint="eastAsia"/>
          <w:sz w:val="24"/>
          <w:szCs w:val="24"/>
        </w:rPr>
        <w:t>（10）针对非检测人员非法进入检测线的行为进行视频智能识别分析</w:t>
      </w:r>
      <w:r>
        <w:rPr>
          <w:rFonts w:asciiTheme="minorEastAsia" w:hAnsiTheme="minorEastAsia" w:cstheme="minorEastAsia" w:hint="eastAsia"/>
          <w:kern w:val="0"/>
          <w:sz w:val="24"/>
          <w:szCs w:val="24"/>
        </w:rPr>
        <w:t>。</w:t>
      </w:r>
    </w:p>
    <w:p w14:paraId="7B215BBF" w14:textId="77777777" w:rsidR="00594060" w:rsidRDefault="003650A0" w:rsidP="009A1FF8">
      <w:pPr>
        <w:pStyle w:val="a6"/>
        <w:spacing w:line="360" w:lineRule="auto"/>
        <w:rPr>
          <w:rFonts w:ascii="宋体" w:eastAsia="宋体" w:hAnsi="宋体"/>
          <w:b/>
          <w:sz w:val="28"/>
          <w:szCs w:val="28"/>
        </w:rPr>
      </w:pPr>
      <w:r>
        <w:rPr>
          <w:rFonts w:ascii="宋体" w:eastAsia="宋体" w:hAnsi="宋体" w:hint="eastAsia"/>
          <w:b/>
          <w:sz w:val="28"/>
          <w:szCs w:val="28"/>
        </w:rPr>
        <w:t>3.任务要求</w:t>
      </w:r>
    </w:p>
    <w:p w14:paraId="49C99689" w14:textId="77777777" w:rsidR="00594060" w:rsidRDefault="003650A0" w:rsidP="009A1FF8">
      <w:pPr>
        <w:spacing w:line="360" w:lineRule="auto"/>
        <w:rPr>
          <w:rFonts w:ascii="宋体" w:hAnsi="宋体"/>
          <w:b/>
          <w:sz w:val="24"/>
          <w:szCs w:val="24"/>
        </w:rPr>
      </w:pPr>
      <w:r>
        <w:rPr>
          <w:rFonts w:ascii="宋体" w:hAnsi="宋体" w:hint="eastAsia"/>
          <w:b/>
          <w:sz w:val="24"/>
          <w:szCs w:val="24"/>
        </w:rPr>
        <w:t>（1）总体功能要求</w:t>
      </w:r>
    </w:p>
    <w:p w14:paraId="55A0F231" w14:textId="77777777" w:rsidR="00594060" w:rsidRDefault="003650A0" w:rsidP="009A1FF8">
      <w:pPr>
        <w:pStyle w:val="a0"/>
        <w:spacing w:line="360" w:lineRule="auto"/>
        <w:ind w:firstLine="4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1、平台展示：</w:t>
      </w:r>
    </w:p>
    <w:p w14:paraId="0BD4DF3F" w14:textId="267ECE19" w:rsidR="00594060" w:rsidRPr="009A1FF8" w:rsidRDefault="003650A0" w:rsidP="009A1FF8">
      <w:pPr>
        <w:pStyle w:val="a4"/>
        <w:spacing w:line="360" w:lineRule="auto"/>
        <w:ind w:left="480" w:hangingChars="200" w:hanging="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系统提供展示辖区内所有智能分析点位的分布情况，以及当日预警总</w:t>
      </w:r>
      <w:r>
        <w:rPr>
          <w:rFonts w:asciiTheme="minorEastAsia" w:eastAsiaTheme="minorEastAsia" w:hAnsiTheme="minorEastAsia" w:cstheme="minorEastAsia" w:hint="eastAsia"/>
          <w:sz w:val="24"/>
          <w:szCs w:val="24"/>
        </w:rPr>
        <w:lastRenderedPageBreak/>
        <w:t>数，当日检测线预警数、当日预警处置率等数据。实时告警图片以滚动的方式进行展示，为管理人员和值班人员实时掌控辖区问题事情状况提供支持。</w:t>
      </w:r>
    </w:p>
    <w:p w14:paraId="00852BF0" w14:textId="77777777" w:rsidR="00594060" w:rsidRDefault="003650A0" w:rsidP="009A1FF8">
      <w:pPr>
        <w:pStyle w:val="a4"/>
        <w:numPr>
          <w:ilvl w:val="0"/>
          <w:numId w:val="3"/>
        </w:num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预警处置：</w:t>
      </w:r>
    </w:p>
    <w:p w14:paraId="029A593B" w14:textId="69B55957" w:rsidR="00594060" w:rsidRDefault="003650A0" w:rsidP="009A1FF8">
      <w:pPr>
        <w:spacing w:line="360" w:lineRule="auto"/>
        <w:ind w:left="420" w:firstLine="420"/>
        <w:rPr>
          <w:rFonts w:asciiTheme="minorEastAsia" w:hAnsiTheme="minorEastAsia" w:cstheme="minorEastAsia"/>
          <w:sz w:val="24"/>
          <w:szCs w:val="24"/>
        </w:rPr>
      </w:pPr>
      <w:r>
        <w:rPr>
          <w:rFonts w:asciiTheme="minorEastAsia" w:hAnsiTheme="minorEastAsia" w:cstheme="minorEastAsia" w:hint="eastAsia"/>
          <w:sz w:val="24"/>
          <w:szCs w:val="24"/>
        </w:rPr>
        <w:t>以系统发现的异常事件为基础，最新告警图片信息可在预警界面实时弹框显示。异常时间、检测站、检测线、车辆牌照、异常类型、异常图片、处理人、处理情况反馈、处理完成时间、处理状态，用户可以在此基础上对异常进行处理并反馈处理完成情况。</w:t>
      </w:r>
    </w:p>
    <w:p w14:paraId="765DD049" w14:textId="77777777" w:rsidR="00594060" w:rsidRDefault="003650A0" w:rsidP="009A1FF8">
      <w:pPr>
        <w:numPr>
          <w:ilvl w:val="0"/>
          <w:numId w:val="3"/>
        </w:num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综合检索：</w:t>
      </w:r>
    </w:p>
    <w:p w14:paraId="5F5638BA" w14:textId="6D314AA6" w:rsidR="00594060" w:rsidRDefault="003650A0" w:rsidP="009A1FF8">
      <w:pPr>
        <w:pStyle w:val="a0"/>
        <w:spacing w:line="360" w:lineRule="auto"/>
        <w:ind w:left="520" w:hangingChars="200" w:hanging="5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实现对区域内的违规事件快速实现以多维特征检索，提供按事件类型检索、按处置情况检索、按时间维度检索、按空间维度检索、多维检索功能，并提供导出Excel功能，将检索结果输出。</w:t>
      </w:r>
    </w:p>
    <w:p w14:paraId="09CB18FB" w14:textId="77777777" w:rsidR="00594060" w:rsidRDefault="003650A0" w:rsidP="009A1FF8">
      <w:pPr>
        <w:numPr>
          <w:ilvl w:val="0"/>
          <w:numId w:val="3"/>
        </w:num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系统设置：</w:t>
      </w:r>
    </w:p>
    <w:p w14:paraId="7E3E8445" w14:textId="1709BFAA" w:rsidR="00594060" w:rsidRPr="009A1FF8" w:rsidRDefault="003650A0" w:rsidP="009A1FF8">
      <w:pPr>
        <w:pStyle w:val="a0"/>
        <w:spacing w:line="360" w:lineRule="auto"/>
        <w:ind w:left="315"/>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实现对检测站、检测道、摄像头等基础数据的管理</w:t>
      </w:r>
    </w:p>
    <w:p w14:paraId="3F653F21" w14:textId="77777777" w:rsidR="00594060" w:rsidRDefault="003650A0" w:rsidP="009A1FF8">
      <w:pPr>
        <w:widowControl/>
        <w:spacing w:line="360" w:lineRule="auto"/>
        <w:jc w:val="left"/>
        <w:rPr>
          <w:rFonts w:ascii="宋体" w:hAnsi="宋体"/>
          <w:b/>
          <w:sz w:val="24"/>
          <w:szCs w:val="24"/>
        </w:rPr>
      </w:pPr>
      <w:r>
        <w:rPr>
          <w:rFonts w:ascii="宋体" w:hAnsi="宋体" w:hint="eastAsia"/>
          <w:b/>
          <w:sz w:val="24"/>
          <w:szCs w:val="24"/>
        </w:rPr>
        <w:t>（2）项目技术要求</w:t>
      </w:r>
    </w:p>
    <w:p w14:paraId="2A33BCC4" w14:textId="77777777"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项目需要以web应用程序的形式展示。</w:t>
      </w:r>
    </w:p>
    <w:p w14:paraId="1DDD74A3" w14:textId="77777777"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开发语言为Python，C++或Java等。</w:t>
      </w:r>
    </w:p>
    <w:p w14:paraId="53D044FD" w14:textId="77777777"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数据存储形式不限。</w:t>
      </w:r>
    </w:p>
    <w:p w14:paraId="77F38B74" w14:textId="77777777"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框架和应用服务器不限。</w:t>
      </w:r>
    </w:p>
    <w:p w14:paraId="5539D068" w14:textId="77777777"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应用平台Windows、Linux均可。</w:t>
      </w:r>
    </w:p>
    <w:p w14:paraId="25FD1BF2" w14:textId="17AE0755" w:rsidR="00594060" w:rsidRDefault="003650A0" w:rsidP="009A1FF8">
      <w:pPr>
        <w:pStyle w:val="a7"/>
        <w:widowControl/>
        <w:numPr>
          <w:ilvl w:val="1"/>
          <w:numId w:val="4"/>
        </w:numPr>
        <w:spacing w:line="360" w:lineRule="auto"/>
        <w:ind w:firstLineChars="0"/>
        <w:jc w:val="left"/>
        <w:rPr>
          <w:rFonts w:ascii="宋体" w:hAnsi="宋体"/>
          <w:kern w:val="0"/>
          <w:sz w:val="24"/>
          <w:szCs w:val="24"/>
        </w:rPr>
      </w:pPr>
      <w:r>
        <w:rPr>
          <w:rFonts w:ascii="宋体" w:hAnsi="宋体" w:hint="eastAsia"/>
          <w:kern w:val="0"/>
          <w:sz w:val="24"/>
          <w:szCs w:val="24"/>
        </w:rPr>
        <w:t>系统能应用于真实场景，具有良好的</w:t>
      </w:r>
      <w:r w:rsidR="00E01523">
        <w:rPr>
          <w:rFonts w:ascii="宋体" w:hAnsi="宋体" w:hint="eastAsia"/>
          <w:kern w:val="0"/>
          <w:sz w:val="24"/>
          <w:szCs w:val="24"/>
        </w:rPr>
        <w:t>实用</w:t>
      </w:r>
      <w:r>
        <w:rPr>
          <w:rFonts w:ascii="宋体" w:hAnsi="宋体" w:hint="eastAsia"/>
          <w:kern w:val="0"/>
          <w:sz w:val="24"/>
          <w:szCs w:val="24"/>
        </w:rPr>
        <w:t>性。</w:t>
      </w:r>
    </w:p>
    <w:sectPr w:rsidR="00594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46525" w14:textId="77777777" w:rsidR="00F433DD" w:rsidRDefault="00F433DD" w:rsidP="009A1FF8">
      <w:r>
        <w:separator/>
      </w:r>
    </w:p>
  </w:endnote>
  <w:endnote w:type="continuationSeparator" w:id="0">
    <w:p w14:paraId="52B20CD7" w14:textId="77777777" w:rsidR="00F433DD" w:rsidRDefault="00F433DD" w:rsidP="009A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79CD8" w14:textId="77777777" w:rsidR="00F433DD" w:rsidRDefault="00F433DD" w:rsidP="009A1FF8">
      <w:r>
        <w:separator/>
      </w:r>
    </w:p>
  </w:footnote>
  <w:footnote w:type="continuationSeparator" w:id="0">
    <w:p w14:paraId="2FAB404F" w14:textId="77777777" w:rsidR="00F433DD" w:rsidRDefault="00F433DD" w:rsidP="009A1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14FF0"/>
    <w:multiLevelType w:val="multilevel"/>
    <w:tmpl w:val="0D314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0164B8"/>
    <w:multiLevelType w:val="singleLevel"/>
    <w:tmpl w:val="220164B8"/>
    <w:lvl w:ilvl="0">
      <w:start w:val="2"/>
      <w:numFmt w:val="decimal"/>
      <w:suff w:val="nothing"/>
      <w:lvlText w:val="%1、"/>
      <w:lvlJc w:val="left"/>
      <w:pPr>
        <w:ind w:left="315" w:firstLine="0"/>
      </w:pPr>
    </w:lvl>
  </w:abstractNum>
  <w:abstractNum w:abstractNumId="2" w15:restartNumberingAfterBreak="0">
    <w:nsid w:val="50A55E66"/>
    <w:multiLevelType w:val="singleLevel"/>
    <w:tmpl w:val="50A55E66"/>
    <w:lvl w:ilvl="0">
      <w:start w:val="3"/>
      <w:numFmt w:val="decimal"/>
      <w:suff w:val="nothing"/>
      <w:lvlText w:val="（%1）"/>
      <w:lvlJc w:val="left"/>
    </w:lvl>
  </w:abstractNum>
  <w:abstractNum w:abstractNumId="3" w15:restartNumberingAfterBreak="0">
    <w:nsid w:val="739D7044"/>
    <w:multiLevelType w:val="singleLevel"/>
    <w:tmpl w:val="739D7044"/>
    <w:lvl w:ilvl="0">
      <w:start w:val="7"/>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2ABF"/>
    <w:rsid w:val="003650A0"/>
    <w:rsid w:val="004D4977"/>
    <w:rsid w:val="00594060"/>
    <w:rsid w:val="00612ABF"/>
    <w:rsid w:val="006425A5"/>
    <w:rsid w:val="006918FC"/>
    <w:rsid w:val="006D0723"/>
    <w:rsid w:val="009A1FF8"/>
    <w:rsid w:val="00AA1C0B"/>
    <w:rsid w:val="00AB374E"/>
    <w:rsid w:val="00D809CC"/>
    <w:rsid w:val="00E01523"/>
    <w:rsid w:val="00F433DD"/>
    <w:rsid w:val="01D81B8E"/>
    <w:rsid w:val="1DE94631"/>
    <w:rsid w:val="4D8A5538"/>
    <w:rsid w:val="56527C87"/>
    <w:rsid w:val="5D5A431C"/>
    <w:rsid w:val="7019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E1A0E"/>
  <w15:docId w15:val="{7DAF67B0-F8B1-49B7-86B8-84B50E73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keepNext/>
      <w:keepLines/>
      <w:widowControl/>
      <w:spacing w:before="260" w:after="260" w:line="416" w:lineRule="auto"/>
      <w:jc w:val="left"/>
      <w:outlineLvl w:val="1"/>
    </w:pPr>
    <w:rPr>
      <w:rFonts w:ascii="Cambria" w:eastAsia="宋体" w:hAnsi="Cambria" w:cs="Times New Roman"/>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next w:val="a4"/>
    <w:pPr>
      <w:spacing w:line="440" w:lineRule="exact"/>
      <w:jc w:val="left"/>
    </w:pPr>
    <w:rPr>
      <w:rFonts w:ascii="Times New Roman" w:eastAsia="宋体" w:hAnsi="Times New Roman" w:cs="Times New Roman"/>
      <w:bCs/>
      <w:spacing w:val="10"/>
      <w:kern w:val="0"/>
    </w:rPr>
  </w:style>
  <w:style w:type="paragraph" w:styleId="a4">
    <w:name w:val="Body Text"/>
    <w:basedOn w:val="a"/>
    <w:next w:val="a"/>
    <w:pPr>
      <w:spacing w:after="120"/>
    </w:pPr>
    <w:rPr>
      <w:rFonts w:ascii="Calibri" w:eastAsia="宋体" w:hAnsi="Calibri" w:cs="Times New Roman"/>
    </w:rPr>
  </w:style>
  <w:style w:type="paragraph" w:styleId="a5">
    <w:name w:val="Normal (Web)"/>
    <w:basedOn w:val="a"/>
    <w:uiPriority w:val="99"/>
    <w:unhideWhenUsed/>
    <w:qFormat/>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20">
    <w:name w:val="标题 2 字符"/>
    <w:basedOn w:val="a1"/>
    <w:link w:val="2"/>
    <w:uiPriority w:val="9"/>
    <w:qFormat/>
    <w:rPr>
      <w:rFonts w:ascii="Cambria" w:eastAsia="宋体" w:hAnsi="Cambria" w:cs="Times New Roman"/>
      <w:b/>
      <w:bCs/>
      <w:kern w:val="0"/>
      <w:sz w:val="32"/>
      <w:szCs w:val="32"/>
    </w:rPr>
  </w:style>
  <w:style w:type="paragraph" w:styleId="a6">
    <w:name w:val="No Spacing"/>
    <w:uiPriority w:val="1"/>
    <w:qFormat/>
    <w:rPr>
      <w:rFonts w:asciiTheme="minorHAnsi" w:eastAsiaTheme="minorEastAsia" w:hAnsiTheme="minorHAnsi" w:cstheme="minorBidi"/>
      <w:sz w:val="22"/>
      <w:szCs w:val="22"/>
    </w:rPr>
  </w:style>
  <w:style w:type="paragraph" w:styleId="a7">
    <w:name w:val="List Paragraph"/>
    <w:basedOn w:val="a"/>
    <w:uiPriority w:val="34"/>
    <w:qFormat/>
    <w:pPr>
      <w:ind w:firstLineChars="200" w:firstLine="420"/>
    </w:pPr>
  </w:style>
  <w:style w:type="paragraph" w:styleId="a8">
    <w:name w:val="header"/>
    <w:basedOn w:val="a"/>
    <w:link w:val="a9"/>
    <w:uiPriority w:val="99"/>
    <w:unhideWhenUsed/>
    <w:rsid w:val="009A1FF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rsid w:val="009A1FF8"/>
    <w:rPr>
      <w:rFonts w:asciiTheme="minorHAnsi" w:eastAsiaTheme="minorEastAsia" w:hAnsiTheme="minorHAnsi" w:cstheme="minorBidi"/>
      <w:kern w:val="2"/>
      <w:sz w:val="18"/>
      <w:szCs w:val="18"/>
    </w:rPr>
  </w:style>
  <w:style w:type="paragraph" w:styleId="aa">
    <w:name w:val="footer"/>
    <w:basedOn w:val="a"/>
    <w:link w:val="ab"/>
    <w:uiPriority w:val="99"/>
    <w:unhideWhenUsed/>
    <w:rsid w:val="009A1FF8"/>
    <w:pPr>
      <w:tabs>
        <w:tab w:val="center" w:pos="4153"/>
        <w:tab w:val="right" w:pos="8306"/>
      </w:tabs>
      <w:snapToGrid w:val="0"/>
      <w:jc w:val="left"/>
    </w:pPr>
    <w:rPr>
      <w:sz w:val="18"/>
      <w:szCs w:val="18"/>
    </w:rPr>
  </w:style>
  <w:style w:type="character" w:customStyle="1" w:styleId="ab">
    <w:name w:val="页脚 字符"/>
    <w:basedOn w:val="a1"/>
    <w:link w:val="aa"/>
    <w:uiPriority w:val="99"/>
    <w:rsid w:val="009A1FF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289</Words>
  <Characters>1651</Characters>
  <Application>Microsoft Office Word</Application>
  <DocSecurity>0</DocSecurity>
  <Lines>13</Lines>
  <Paragraphs>3</Paragraphs>
  <ScaleCrop>false</ScaleCrop>
  <Company>Microsoft</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 Fu</dc:creator>
  <cp:lastModifiedBy>沈 慕珍</cp:lastModifiedBy>
  <cp:revision>4</cp:revision>
  <dcterms:created xsi:type="dcterms:W3CDTF">2018-11-09T04:00:00Z</dcterms:created>
  <dcterms:modified xsi:type="dcterms:W3CDTF">2021-03-16T09:16:00Z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