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DA794">
      <w:pPr>
        <w:tabs>
          <w:tab w:val="left" w:pos="1800"/>
        </w:tabs>
        <w:snapToGrid w:val="0"/>
        <w:jc w:val="center"/>
        <w:rPr>
          <w:rFonts w:hint="eastAsia" w:ascii="宋体" w:hAnsi="宋体" w:eastAsia="宋体"/>
          <w:b/>
          <w:w w:val="90"/>
          <w:sz w:val="30"/>
          <w:szCs w:val="30"/>
          <w:lang w:eastAsia="zh-CN"/>
        </w:rPr>
      </w:pPr>
      <w:r>
        <w:rPr>
          <w:rFonts w:hint="eastAsia" w:ascii="宋体" w:hAnsi="宋体"/>
          <w:b/>
          <w:w w:val="90"/>
          <w:sz w:val="28"/>
          <w:szCs w:val="28"/>
          <w:lang w:val="en-US" w:eastAsia="zh-CN"/>
        </w:rPr>
        <w:t>附件四 艺术设计系</w:t>
      </w:r>
      <w:r>
        <w:rPr>
          <w:rFonts w:hint="eastAsia" w:ascii="宋体" w:hAnsi="宋体"/>
          <w:b/>
          <w:w w:val="90"/>
          <w:sz w:val="28"/>
          <w:szCs w:val="28"/>
        </w:rPr>
        <w:t>教师教学工作业绩考核</w:t>
      </w:r>
      <w:r>
        <w:rPr>
          <w:rFonts w:hint="eastAsia" w:ascii="宋体" w:hAnsi="宋体"/>
          <w:b/>
          <w:w w:val="90"/>
          <w:sz w:val="28"/>
          <w:szCs w:val="28"/>
          <w:lang w:val="en-US" w:eastAsia="zh-CN"/>
        </w:rPr>
        <w:t>细则</w:t>
      </w:r>
    </w:p>
    <w:p w14:paraId="5352AB09">
      <w:pPr>
        <w:tabs>
          <w:tab w:val="left" w:pos="1800"/>
        </w:tabs>
        <w:spacing w:line="400" w:lineRule="exact"/>
        <w:ind w:firstLine="579" w:firstLineChars="200"/>
        <w:rPr>
          <w:rFonts w:ascii="宋体" w:hAnsi="宋体"/>
          <w:b/>
          <w:w w:val="90"/>
          <w:sz w:val="32"/>
          <w:szCs w:val="32"/>
        </w:rPr>
      </w:pPr>
    </w:p>
    <w:p w14:paraId="5B7A895A"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本科教学工作业绩计算公式为：</w:t>
      </w:r>
      <w:r>
        <w:rPr>
          <w:sz w:val="24"/>
        </w:rPr>
        <w:t>S= S</w:t>
      </w:r>
      <w:r>
        <w:rPr>
          <w:sz w:val="24"/>
          <w:vertAlign w:val="subscript"/>
        </w:rPr>
        <w:t>1</w:t>
      </w:r>
      <w:r>
        <w:rPr>
          <w:rFonts w:hint="eastAsia" w:ascii="仿宋_GB2312" w:hAnsi="宋体" w:eastAsia="仿宋_GB2312"/>
          <w:sz w:val="24"/>
          <w:highlight w:val="none"/>
        </w:rPr>
        <w:t>*</w:t>
      </w:r>
      <w:r>
        <w:rPr>
          <w:rFonts w:hint="eastAsia" w:ascii="仿宋_GB2312" w:hAnsi="宋体" w:eastAsia="仿宋_GB2312"/>
          <w:sz w:val="24"/>
          <w:highlight w:val="none"/>
          <w:lang w:val="en-US" w:eastAsia="zh-CN"/>
        </w:rPr>
        <w:t>44</w:t>
      </w:r>
      <w:r>
        <w:rPr>
          <w:rFonts w:hint="eastAsia" w:ascii="仿宋_GB2312" w:hAnsi="宋体" w:eastAsia="仿宋_GB2312"/>
          <w:sz w:val="24"/>
          <w:highlight w:val="none"/>
        </w:rPr>
        <w:t>%</w:t>
      </w:r>
      <w:r>
        <w:rPr>
          <w:sz w:val="24"/>
          <w:highlight w:val="none"/>
        </w:rPr>
        <w:t>+ S</w:t>
      </w:r>
      <w:r>
        <w:rPr>
          <w:sz w:val="24"/>
          <w:highlight w:val="none"/>
          <w:vertAlign w:val="subscript"/>
        </w:rPr>
        <w:t>2</w:t>
      </w:r>
      <w:r>
        <w:rPr>
          <w:rFonts w:hint="eastAsia" w:ascii="仿宋_GB2312" w:hAnsi="宋体" w:eastAsia="仿宋_GB2312"/>
          <w:sz w:val="24"/>
          <w:highlight w:val="none"/>
        </w:rPr>
        <w:t>*</w:t>
      </w:r>
      <w:r>
        <w:rPr>
          <w:rFonts w:hint="eastAsia" w:ascii="仿宋_GB2312" w:hAnsi="宋体" w:eastAsia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sz w:val="24"/>
          <w:highlight w:val="none"/>
        </w:rPr>
        <w:t>0%+</w:t>
      </w:r>
      <w:r>
        <w:rPr>
          <w:sz w:val="24"/>
          <w:highlight w:val="none"/>
        </w:rPr>
        <w:t>S</w:t>
      </w:r>
      <w:r>
        <w:rPr>
          <w:sz w:val="24"/>
          <w:highlight w:val="none"/>
          <w:vertAlign w:val="subscript"/>
        </w:rPr>
        <w:t>3</w:t>
      </w:r>
      <w:r>
        <w:rPr>
          <w:rFonts w:hint="eastAsia" w:ascii="仿宋_GB2312" w:hAnsi="宋体" w:eastAsia="仿宋_GB2312"/>
          <w:sz w:val="24"/>
          <w:highlight w:val="none"/>
        </w:rPr>
        <w:t>*2</w:t>
      </w:r>
      <w:r>
        <w:rPr>
          <w:rFonts w:hint="eastAsia" w:ascii="仿宋_GB2312" w:hAnsi="宋体" w:eastAsia="仿宋_GB2312"/>
          <w:sz w:val="24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sz w:val="24"/>
          <w:highlight w:val="none"/>
        </w:rPr>
        <w:t>%</w:t>
      </w:r>
      <w:r>
        <w:rPr>
          <w:rFonts w:hint="eastAsia"/>
          <w:sz w:val="24"/>
          <w:highlight w:val="none"/>
        </w:rPr>
        <w:t>。</w:t>
      </w:r>
      <w:r>
        <w:rPr>
          <w:rFonts w:hint="eastAsia"/>
          <w:sz w:val="24"/>
        </w:rPr>
        <w:t>其中</w:t>
      </w:r>
      <w:r>
        <w:rPr>
          <w:sz w:val="24"/>
        </w:rPr>
        <w:t>S</w:t>
      </w:r>
      <w:r>
        <w:rPr>
          <w:rFonts w:hint="eastAsia"/>
          <w:sz w:val="24"/>
        </w:rPr>
        <w:t>为教师教学工作业绩总分，</w:t>
      </w:r>
      <w:r>
        <w:rPr>
          <w:sz w:val="24"/>
        </w:rPr>
        <w:t>S</w:t>
      </w:r>
      <w:r>
        <w:rPr>
          <w:sz w:val="24"/>
          <w:vertAlign w:val="subscript"/>
        </w:rPr>
        <w:t>1</w:t>
      </w:r>
      <w:r>
        <w:rPr>
          <w:rFonts w:hint="eastAsia"/>
          <w:sz w:val="24"/>
        </w:rPr>
        <w:t>为教学工作量得分，</w:t>
      </w:r>
      <w:r>
        <w:rPr>
          <w:sz w:val="24"/>
        </w:rPr>
        <w:t>S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为教学效果得分，</w:t>
      </w:r>
      <w:r>
        <w:rPr>
          <w:sz w:val="24"/>
        </w:rPr>
        <w:t>S</w:t>
      </w:r>
      <w:r>
        <w:rPr>
          <w:sz w:val="24"/>
          <w:vertAlign w:val="subscript"/>
        </w:rPr>
        <w:t>3</w:t>
      </w:r>
      <w:r>
        <w:rPr>
          <w:rFonts w:hint="eastAsia"/>
          <w:sz w:val="24"/>
        </w:rPr>
        <w:t>为教学</w:t>
      </w:r>
      <w:r>
        <w:rPr>
          <w:rFonts w:hint="eastAsia"/>
          <w:sz w:val="24"/>
          <w:lang w:val="en-US" w:eastAsia="zh-CN"/>
        </w:rPr>
        <w:t>建设与研究</w:t>
      </w:r>
      <w:r>
        <w:rPr>
          <w:rFonts w:hint="eastAsia"/>
          <w:sz w:val="24"/>
        </w:rPr>
        <w:t>得分。</w:t>
      </w:r>
    </w:p>
    <w:tbl>
      <w:tblPr>
        <w:tblStyle w:val="2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417"/>
        <w:gridCol w:w="1553"/>
        <w:gridCol w:w="3893"/>
        <w:gridCol w:w="1417"/>
      </w:tblGrid>
      <w:tr w14:paraId="382A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tblHeader/>
          <w:jc w:val="center"/>
        </w:trPr>
        <w:tc>
          <w:tcPr>
            <w:tcW w:w="1139" w:type="dxa"/>
            <w:vAlign w:val="center"/>
          </w:tcPr>
          <w:p w14:paraId="167C709E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一级指标</w:t>
            </w:r>
          </w:p>
        </w:tc>
        <w:tc>
          <w:tcPr>
            <w:tcW w:w="1417" w:type="dxa"/>
            <w:vAlign w:val="center"/>
          </w:tcPr>
          <w:p w14:paraId="3EF92C26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二级指标</w:t>
            </w:r>
          </w:p>
        </w:tc>
        <w:tc>
          <w:tcPr>
            <w:tcW w:w="1553" w:type="dxa"/>
            <w:vAlign w:val="center"/>
          </w:tcPr>
          <w:p w14:paraId="781F83F8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主要观测点</w:t>
            </w:r>
          </w:p>
        </w:tc>
        <w:tc>
          <w:tcPr>
            <w:tcW w:w="3893" w:type="dxa"/>
            <w:vAlign w:val="center"/>
          </w:tcPr>
          <w:p w14:paraId="6C16BCF3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量化分值计算办法</w:t>
            </w:r>
          </w:p>
        </w:tc>
        <w:tc>
          <w:tcPr>
            <w:tcW w:w="1417" w:type="dxa"/>
            <w:vAlign w:val="center"/>
          </w:tcPr>
          <w:p w14:paraId="3F5B99DB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 w14:paraId="1F4E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1139" w:type="dxa"/>
            <w:vMerge w:val="restart"/>
            <w:vAlign w:val="center"/>
          </w:tcPr>
          <w:p w14:paraId="3CE3CF69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教学工作量（S</w:t>
            </w:r>
            <w:r>
              <w:rPr>
                <w:rFonts w:ascii="仿宋" w:hAnsi="仿宋" w:eastAsia="仿宋" w:cs="仿宋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 w14:paraId="623663D5">
            <w:pPr>
              <w:spacing w:line="28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BA0C548">
            <w:pPr>
              <w:spacing w:line="28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毕业设计(s</w:t>
            </w:r>
            <w:r>
              <w:rPr>
                <w:rFonts w:ascii="仿宋" w:hAnsi="仿宋" w:eastAsia="仿宋" w:cs="仿宋"/>
                <w:szCs w:val="21"/>
                <w:highlight w:val="none"/>
                <w:vertAlign w:val="subscript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vertAlign w:val="subscript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)(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50%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)</w:t>
            </w:r>
          </w:p>
        </w:tc>
        <w:tc>
          <w:tcPr>
            <w:tcW w:w="1553" w:type="dxa"/>
            <w:vAlign w:val="center"/>
          </w:tcPr>
          <w:p w14:paraId="41BD525E">
            <w:pPr>
              <w:spacing w:line="28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毕业设计论文等级比例</w:t>
            </w:r>
          </w:p>
        </w:tc>
        <w:tc>
          <w:tcPr>
            <w:tcW w:w="3893" w:type="dxa"/>
            <w:vAlign w:val="center"/>
          </w:tcPr>
          <w:p w14:paraId="170DB99E">
            <w:pP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基本分 10 分(毕业设计重大事故或重要环节无故缺席酌情扣分)，指导作品 80% 良好以上 10 分，30 %-70% 中等以上 8 分，70%以上及格 6 分。</w:t>
            </w:r>
          </w:p>
        </w:tc>
        <w:tc>
          <w:tcPr>
            <w:tcW w:w="1417" w:type="dxa"/>
            <w:vAlign w:val="center"/>
          </w:tcPr>
          <w:p w14:paraId="0496913C">
            <w:pPr>
              <w:spacing w:line="28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毕业设计论文抽检不合格，当年考核等级最高为合格。</w:t>
            </w:r>
          </w:p>
        </w:tc>
      </w:tr>
      <w:tr w14:paraId="05837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9" w:hRule="atLeast"/>
          <w:jc w:val="center"/>
        </w:trPr>
        <w:tc>
          <w:tcPr>
            <w:tcW w:w="1139" w:type="dxa"/>
            <w:vMerge w:val="continue"/>
            <w:vAlign w:val="center"/>
          </w:tcPr>
          <w:p w14:paraId="2C12386B">
            <w:pPr>
              <w:spacing w:line="28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7B1D582">
            <w:pPr>
              <w:spacing w:line="280" w:lineRule="exac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学科竞赛（S</w:t>
            </w:r>
            <w:r>
              <w:rPr>
                <w:rFonts w:hint="eastAsia" w:ascii="仿宋" w:hAnsi="仿宋" w:eastAsia="仿宋" w:cs="仿宋"/>
                <w:szCs w:val="21"/>
                <w:vertAlign w:val="subscript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）(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%)</w:t>
            </w:r>
          </w:p>
          <w:p w14:paraId="520B3E02">
            <w:pPr>
              <w:spacing w:line="28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1456A41A">
            <w:pPr>
              <w:spacing w:line="28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教学比赛及指导学生竞赛成果</w:t>
            </w:r>
          </w:p>
        </w:tc>
        <w:tc>
          <w:tcPr>
            <w:tcW w:w="3893" w:type="dxa"/>
            <w:vAlign w:val="center"/>
          </w:tcPr>
          <w:p w14:paraId="5AE236F6">
            <w:pPr>
              <w:pStyle w:val="4"/>
              <w:ind w:firstLine="0" w:firstLineChars="0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学校认定的比赛国家级一等奖 28分，二等奖26 分，三等奖 24 分;省一等奖 24 分，省二等奖 20 分，省三等奖 16 分; 院一等奖 6 分，院二等奖 4 分，院三等奖 2 分。院赛总得分上限 8 分，指导教师排名第二分数减半，排名第三及以下不计分。互联网+竞赛申报3分/项，上限5项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。注：为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鼓励参与系内比赛，发挥专业指导主体作用，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如参加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本专业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目录外的其他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比赛赛道需提供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与设计部分有直接相关的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指导证明，否则视为挂名，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不计入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业绩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417" w:type="dxa"/>
            <w:vAlign w:val="center"/>
          </w:tcPr>
          <w:p w14:paraId="33635A14">
            <w:pPr>
              <w:spacing w:line="280" w:lineRule="exact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无竞赛成果0分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为鼓励老师学科竞赛与科研的积极性，省级以上竞赛获奖以及省级以上课题与项目的加分不设上限，累计得分可以超过总分 100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2CDCB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1139" w:type="dxa"/>
            <w:vMerge w:val="restart"/>
            <w:vAlign w:val="center"/>
          </w:tcPr>
          <w:p w14:paraId="6FCA0093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教学效果</w:t>
            </w:r>
          </w:p>
          <w:p w14:paraId="3384F21A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（S</w:t>
            </w:r>
            <w:r>
              <w:rPr>
                <w:rFonts w:ascii="仿宋" w:hAnsi="仿宋" w:eastAsia="仿宋" w:cs="仿宋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 w14:paraId="0E489C1A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2993DF5">
            <w:pPr>
              <w:spacing w:line="280" w:lineRule="exac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教学展览（s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vertAlign w:val="subscript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）</w:t>
            </w:r>
          </w:p>
          <w:p w14:paraId="1BEA8F70">
            <w:pPr>
              <w:spacing w:line="280" w:lineRule="exac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%）</w:t>
            </w:r>
          </w:p>
        </w:tc>
        <w:tc>
          <w:tcPr>
            <w:tcW w:w="1553" w:type="dxa"/>
            <w:vAlign w:val="center"/>
          </w:tcPr>
          <w:p w14:paraId="108D6E58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两个学期课程作品成果</w:t>
            </w:r>
          </w:p>
        </w:tc>
        <w:tc>
          <w:tcPr>
            <w:tcW w:w="3893" w:type="dxa"/>
            <w:vAlign w:val="center"/>
          </w:tcPr>
          <w:p w14:paraId="45424A0E"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基本分10 分(课程教学重大事故酌情扣分)，线下展览 10分，线上展览5分，无展览0分。</w:t>
            </w:r>
          </w:p>
        </w:tc>
        <w:tc>
          <w:tcPr>
            <w:tcW w:w="1417" w:type="dxa"/>
          </w:tcPr>
          <w:p w14:paraId="1B1FC531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由于课程性质不同，会导致展览效果差异，参与作品展览即可计分。</w:t>
            </w:r>
          </w:p>
        </w:tc>
      </w:tr>
      <w:tr w14:paraId="6367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6" w:hRule="atLeast"/>
          <w:jc w:val="center"/>
        </w:trPr>
        <w:tc>
          <w:tcPr>
            <w:tcW w:w="1139" w:type="dxa"/>
            <w:vMerge w:val="continue"/>
            <w:vAlign w:val="center"/>
          </w:tcPr>
          <w:p w14:paraId="2A15D6EB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E2C1A6">
            <w:pPr>
              <w:spacing w:line="280" w:lineRule="exac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教学质量评价(s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vertAlign w:val="subscript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)（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%）</w:t>
            </w:r>
          </w:p>
        </w:tc>
        <w:tc>
          <w:tcPr>
            <w:tcW w:w="1553" w:type="dxa"/>
            <w:vAlign w:val="center"/>
          </w:tcPr>
          <w:p w14:paraId="702BD3B2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两个学期学评教情况</w:t>
            </w:r>
          </w:p>
          <w:p w14:paraId="5C653E10">
            <w:pPr>
              <w:spacing w:line="280" w:lineRule="exact"/>
              <w:rPr>
                <w:rFonts w:ascii="仿宋" w:hAnsi="仿宋" w:eastAsia="仿宋" w:cs="仿宋"/>
                <w:szCs w:val="21"/>
                <w:highlight w:val="yellow"/>
              </w:rPr>
            </w:pPr>
          </w:p>
        </w:tc>
        <w:tc>
          <w:tcPr>
            <w:tcW w:w="3893" w:type="dxa"/>
            <w:vAlign w:val="center"/>
          </w:tcPr>
          <w:p w14:paraId="516E0203">
            <w:pPr>
              <w:pStyle w:val="4"/>
              <w:ind w:firstLine="0" w:firstLineChars="0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优秀 10 分，良好 8 分，合格 6 分，不合格 0 分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5E823EF">
            <w:pPr>
              <w:tabs>
                <w:tab w:val="left" w:pos="2660"/>
              </w:tabs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</w:tcPr>
          <w:p w14:paraId="05B74891">
            <w:pPr>
              <w:pStyle w:val="4"/>
              <w:ind w:firstLine="0" w:firstLineChars="0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出现教学事故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当年考核等级最高为合格。</w:t>
            </w:r>
          </w:p>
        </w:tc>
      </w:tr>
      <w:tr w14:paraId="4461F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1139" w:type="dxa"/>
            <w:vMerge w:val="restart"/>
          </w:tcPr>
          <w:p w14:paraId="1A07E3A4"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  <w:p w14:paraId="3BB4C1F3">
            <w:pPr>
              <w:spacing w:line="280" w:lineRule="exact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0816A09">
            <w:pPr>
              <w:spacing w:line="280" w:lineRule="exact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FCD9E2F">
            <w:pPr>
              <w:spacing w:line="280" w:lineRule="exact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061FFA5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 w14:paraId="32CEC8B8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 w14:paraId="3AEA9CE6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 w14:paraId="5C2BC371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 w14:paraId="0B3A5D0C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 w14:paraId="3913C5EB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教学建设与研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</w:rPr>
              <w:t>究（S</w:t>
            </w:r>
            <w:r>
              <w:rPr>
                <w:rFonts w:ascii="仿宋" w:hAnsi="仿宋" w:eastAsia="仿宋" w:cs="仿宋"/>
                <w:szCs w:val="21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</w:tc>
        <w:tc>
          <w:tcPr>
            <w:tcW w:w="1417" w:type="dxa"/>
            <w:vMerge w:val="restart"/>
            <w:vAlign w:val="center"/>
          </w:tcPr>
          <w:p w14:paraId="0010B9ED">
            <w:pPr>
              <w:spacing w:line="280" w:lineRule="exact"/>
              <w:jc w:val="left"/>
              <w:rPr>
                <w:rFonts w:ascii="仿宋" w:hAnsi="仿宋" w:eastAsia="仿宋" w:cs="仿宋"/>
                <w:szCs w:val="21"/>
                <w:highlight w:val="none"/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科研成果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(S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vertAlign w:val="subscript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) (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%)</w:t>
            </w:r>
          </w:p>
        </w:tc>
        <w:tc>
          <w:tcPr>
            <w:tcW w:w="1553" w:type="dxa"/>
            <w:vAlign w:val="center"/>
          </w:tcPr>
          <w:p w14:paraId="1CB96469">
            <w:pPr>
              <w:widowControl/>
              <w:tabs>
                <w:tab w:val="left" w:pos="900"/>
              </w:tabs>
              <w:spacing w:line="280" w:lineRule="exact"/>
              <w:ind w:left="-63" w:leftChars="-30" w:right="-82" w:rightChars="-39" w:firstLine="1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课题申请情况</w:t>
            </w:r>
          </w:p>
        </w:tc>
        <w:tc>
          <w:tcPr>
            <w:tcW w:w="3893" w:type="dxa"/>
            <w:vAlign w:val="center"/>
          </w:tcPr>
          <w:p w14:paraId="3E5534D5">
            <w:pPr>
              <w:pStyle w:val="4"/>
              <w:ind w:firstLine="0" w:firstLineChars="0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国家级课题 20分，省部级课题 16 分，厅局级课题 12 分，院级课题 6 分;国家级省级课题排名第三及以下分数减半，院级课题排名第二减半，排名第三及以下不计分，院级课题得分上限 8 分。</w:t>
            </w:r>
          </w:p>
        </w:tc>
        <w:tc>
          <w:tcPr>
            <w:tcW w:w="1417" w:type="dxa"/>
          </w:tcPr>
          <w:p w14:paraId="65D8AC96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课题认定范围以校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科技处公布的名录为准。</w:t>
            </w:r>
          </w:p>
        </w:tc>
      </w:tr>
      <w:tr w14:paraId="4AD36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1139" w:type="dxa"/>
            <w:vMerge w:val="continue"/>
          </w:tcPr>
          <w:p w14:paraId="7D085EEB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452E62D2">
            <w:pPr>
              <w:spacing w:line="28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1F91D919">
            <w:pPr>
              <w:widowControl/>
              <w:tabs>
                <w:tab w:val="left" w:pos="900"/>
              </w:tabs>
              <w:spacing w:line="280" w:lineRule="exact"/>
              <w:ind w:left="-63" w:leftChars="-30" w:right="-82" w:rightChars="-39" w:firstLine="1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公开发表论文、专著</w:t>
            </w:r>
          </w:p>
        </w:tc>
        <w:tc>
          <w:tcPr>
            <w:tcW w:w="3893" w:type="dxa"/>
            <w:vAlign w:val="center"/>
          </w:tcPr>
          <w:p w14:paraId="59FC0CBE">
            <w:pPr>
              <w:widowControl/>
              <w:spacing w:line="300" w:lineRule="exact"/>
              <w:ind w:left="-31" w:right="-86" w:rightChars="-41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一级刊物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16 分，核心刊物8分;刊物级别认定以杭电学术刊物目录为准。</w:t>
            </w:r>
          </w:p>
        </w:tc>
        <w:tc>
          <w:tcPr>
            <w:tcW w:w="1417" w:type="dxa"/>
          </w:tcPr>
          <w:p w14:paraId="3581ACEA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期刊级别认定以校科技处公布的名录为准，</w:t>
            </w:r>
            <w:r>
              <w:rPr>
                <w:rFonts w:hint="eastAsia" w:ascii="仿宋" w:hAnsi="仿宋" w:eastAsia="仿宋" w:cs="仿宋"/>
                <w:szCs w:val="21"/>
              </w:rPr>
              <w:t>专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著发表等同于一级期刊。</w:t>
            </w:r>
          </w:p>
        </w:tc>
      </w:tr>
      <w:tr w14:paraId="07A4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1139" w:type="dxa"/>
            <w:vMerge w:val="continue"/>
          </w:tcPr>
          <w:p w14:paraId="62637EDA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E065B4C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教研活动与学科建设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vertAlign w:val="sub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553" w:type="dxa"/>
            <w:vAlign w:val="center"/>
          </w:tcPr>
          <w:p w14:paraId="74E92DE0">
            <w:pPr>
              <w:widowControl/>
              <w:tabs>
                <w:tab w:val="left" w:pos="900"/>
              </w:tabs>
              <w:spacing w:line="280" w:lineRule="exact"/>
              <w:ind w:right="-82" w:rightChars="-39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教研活动、系办工作参与情况</w:t>
            </w:r>
          </w:p>
        </w:tc>
        <w:tc>
          <w:tcPr>
            <w:tcW w:w="3893" w:type="dxa"/>
            <w:vAlign w:val="center"/>
          </w:tcPr>
          <w:p w14:paraId="3091DE37">
            <w:pPr>
              <w:pStyle w:val="4"/>
              <w:ind w:firstLine="0" w:firstLineChars="0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教研活动请假一次扣 2 分，实验室卫生不合格一次扣1分;承担教学、实验室、系部管理5分/项、毕业设计负责10分，竞赛管理5分/项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（未履行竞赛开始、截止通知及评审通知不计分）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、对外交流签署实习基地并挂牌20分/协议、实验室申报并落实10分/项，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参加代表系部会议及活动一次2分，参加四六级监考一次2分。</w:t>
            </w:r>
          </w:p>
        </w:tc>
        <w:tc>
          <w:tcPr>
            <w:tcW w:w="1417" w:type="dxa"/>
          </w:tcPr>
          <w:p w14:paraId="6706B6ED"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他未尽事宜根据当年工作强度及贡献进行商讨后酌情加分</w:t>
            </w:r>
            <w:r>
              <w:rPr>
                <w:rFonts w:hint="eastAsia"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5749BCA">
      <w:pPr>
        <w:spacing w:line="420" w:lineRule="exact"/>
        <w:ind w:firstLine="420" w:firstLineChars="200"/>
        <w:rPr>
          <w:rFonts w:ascii="宋体" w:hAnsi="宋体"/>
          <w:szCs w:val="21"/>
        </w:rPr>
      </w:pPr>
    </w:p>
    <w:p w14:paraId="2B7C403D">
      <w:pPr>
        <w:spacing w:line="4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注释：</w:t>
      </w:r>
    </w:p>
    <w:p w14:paraId="58B928A5">
      <w:pPr>
        <w:spacing w:line="4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1.专任教师的教学工作量最低要求：参照《杭州电子科技大学信息工程学院岗位设置与聘用实施方案》中岗位聘期业绩点任务要求。</w:t>
      </w:r>
    </w:p>
    <w:p w14:paraId="52591C87">
      <w:pPr>
        <w:spacing w:line="4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2.学生评教每学期进行一次，以教务与科技</w:t>
      </w:r>
      <w:r>
        <w:rPr>
          <w:rFonts w:hint="eastAsia" w:ascii="宋体" w:hAnsi="宋体"/>
          <w:szCs w:val="21"/>
          <w:lang w:val="en-US" w:eastAsia="zh-CN"/>
        </w:rPr>
        <w:t>处</w:t>
      </w:r>
      <w:r>
        <w:rPr>
          <w:rFonts w:hint="eastAsia" w:ascii="宋体" w:hAnsi="宋体"/>
          <w:szCs w:val="21"/>
        </w:rPr>
        <w:t>提供的数据为准。</w:t>
      </w:r>
    </w:p>
    <w:p w14:paraId="02500E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24A15"/>
    <w:rsid w:val="0219350C"/>
    <w:rsid w:val="30A6672A"/>
    <w:rsid w:val="366B3151"/>
    <w:rsid w:val="41571224"/>
    <w:rsid w:val="5D924A15"/>
    <w:rsid w:val="6DC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1140</Words>
  <Characters>1238</Characters>
  <Lines>0</Lines>
  <Paragraphs>0</Paragraphs>
  <TotalTime>4</TotalTime>
  <ScaleCrop>false</ScaleCrop>
  <LinksUpToDate>false</LinksUpToDate>
  <CharactersWithSpaces>1303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2025-06-17T04:10:00Z</dcterms:created>
  <dc:creator>WPS_1697786879</dc:creator>
  <cp:lastModifiedBy>WPS_1640959254</cp:lastModifiedBy>
  <dcterms:modified xsi:type="dcterms:W3CDTF">2025-06-23T06:37:20Z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F49CF3CD402B41BDB46D383374DABDE2_11</vt:lpwstr>
  </property>
  <property fmtid="{D5CDD505-2E9C-101B-9397-08002B2CF9AE}" pid="4" name="KSOTemplateDocerSaveRecord">
    <vt:lpwstr>eyJoZGlkIjoiMDM5MzJkYjQyMDVlZDgwNGU3ZWM0YzFlZTlmYmQ1ODEiLCJ1c2VySWQiOiIxMzEyMTMyMzM1In0=</vt:lpwstr>
  </property>
</Properties>
</file>